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246E1" w:rsidR="005F53F0" w:rsidP="005F53F0" w:rsidRDefault="005F53F0" w14:paraId="3345FB6B" w14:textId="38628F2B">
      <w:pPr>
        <w:jc w:val="center"/>
        <w:rPr>
          <w:rFonts w:ascii="Verdana" w:hAnsi="Verdana"/>
          <w:color w:val="414141"/>
          <w:sz w:val="24"/>
          <w:szCs w:val="24"/>
          <w:lang w:val="en-IE"/>
        </w:rPr>
      </w:pPr>
      <w:r w:rsidRPr="725F267F" w:rsidR="005F53F0">
        <w:rPr>
          <w:noProof/>
          <w:sz w:val="32"/>
          <w:szCs w:val="32"/>
          <w:lang w:val="en-IE"/>
        </w:rPr>
        <w:t>A</w:t>
      </w:r>
      <w:r w:rsidRPr="725F267F" w:rsidR="03AD080D">
        <w:rPr>
          <w:noProof/>
          <w:sz w:val="32"/>
          <w:szCs w:val="32"/>
          <w:lang w:val="en-IE"/>
        </w:rPr>
        <w:t xml:space="preserve">nnex 4b </w:t>
      </w:r>
      <w:r w:rsidRPr="725F267F" w:rsidR="005F53F0">
        <w:rPr>
          <w:noProof/>
          <w:sz w:val="32"/>
          <w:szCs w:val="32"/>
          <w:lang w:val="en-IE"/>
        </w:rPr>
        <w:t xml:space="preserve">on </w:t>
      </w:r>
      <w:r w:rsidRPr="725F267F" w:rsidR="005F53F0">
        <w:rPr>
          <w:noProof/>
          <w:sz w:val="32"/>
          <w:szCs w:val="32"/>
          <w:lang w:val="en-IE"/>
        </w:rPr>
        <w:t xml:space="preserve">Eligibility and Participation </w:t>
      </w:r>
      <w:r w:rsidRPr="725F267F" w:rsidR="005F53F0">
        <w:rPr>
          <w:rStyle w:val="Heading1Char"/>
          <w:sz w:val="32"/>
          <w:szCs w:val="32"/>
        </w:rPr>
        <w:t xml:space="preserve">Conditions for the Request to Participate as </w:t>
      </w:r>
      <w:r w:rsidRPr="725F267F" w:rsidR="005F53F0">
        <w:rPr>
          <w:rStyle w:val="Heading1Char"/>
          <w:sz w:val="32"/>
          <w:szCs w:val="32"/>
        </w:rPr>
        <w:t>s</w:t>
      </w:r>
      <w:r w:rsidRPr="725F267F" w:rsidR="64D89F28">
        <w:rPr>
          <w:rStyle w:val="Heading1Char"/>
          <w:sz w:val="32"/>
          <w:szCs w:val="32"/>
        </w:rPr>
        <w:t>ub-g</w:t>
      </w:r>
      <w:r w:rsidRPr="725F267F" w:rsidR="64D89F28">
        <w:rPr>
          <w:rStyle w:val="Heading1Char"/>
          <w:sz w:val="32"/>
          <w:szCs w:val="32"/>
        </w:rPr>
        <w:t xml:space="preserve">rantee </w:t>
      </w:r>
      <w:r w:rsidRPr="725F267F" w:rsidR="005F53F0">
        <w:rPr>
          <w:rStyle w:val="Heading1Char"/>
          <w:sz w:val="32"/>
          <w:szCs w:val="32"/>
        </w:rPr>
        <w:t xml:space="preserve">of </w:t>
      </w:r>
      <w:r w:rsidRPr="725F267F" w:rsidR="005F53F0">
        <w:rPr>
          <w:rStyle w:val="Heading1Char"/>
          <w:sz w:val="32"/>
          <w:szCs w:val="32"/>
        </w:rPr>
        <w:t>grant</w:t>
      </w:r>
      <w:r w:rsidRPr="725F267F" w:rsidR="005F53F0">
        <w:rPr>
          <w:rStyle w:val="Heading1Char"/>
          <w:sz w:val="32"/>
          <w:szCs w:val="32"/>
        </w:rPr>
        <w:t xml:space="preserve"> </w:t>
      </w:r>
      <w:hyperlink r:id="R29bf296670f3476e">
        <w:r w:rsidRPr="725F267F" w:rsidR="005F53F0">
          <w:rPr>
            <w:rStyle w:val="Hyperlink"/>
            <w:rFonts w:ascii="Verdana" w:hAnsi="Verdana"/>
            <w:color w:val="2E6E9E"/>
            <w:sz w:val="24"/>
            <w:szCs w:val="24"/>
            <w:lang w:val="en-IE"/>
          </w:rPr>
          <w:t>EU SST 2023-26</w:t>
        </w:r>
      </w:hyperlink>
    </w:p>
    <w:p w:rsidRPr="007D17DD" w:rsidR="00890868" w:rsidP="005F53F0" w:rsidRDefault="00890868" w14:paraId="61830EDB" w14:textId="77777777">
      <w:pPr>
        <w:jc w:val="center"/>
        <w:rPr>
          <w:rFonts w:ascii="Verdana" w:hAnsi="Verdana"/>
          <w:color w:val="414141"/>
          <w:sz w:val="21"/>
          <w:szCs w:val="21"/>
          <w:lang w:val="en-IE"/>
        </w:rPr>
      </w:pPr>
    </w:p>
    <w:p w:rsidRPr="00727EE1" w:rsidR="00727EE1" w:rsidP="004947B0" w:rsidRDefault="005F53F0" w14:paraId="7EF3A0DB" w14:textId="63D657A2">
      <w:pPr>
        <w:spacing w:after="181"/>
        <w:ind w:left="3108"/>
        <w:jc w:val="both"/>
        <w:rPr>
          <w:lang w:val="en-IE"/>
        </w:rPr>
      </w:pPr>
      <w:r w:rsidRPr="007D17DD">
        <w:rPr>
          <w:rStyle w:val="Heading1Char"/>
          <w:sz w:val="28"/>
          <w:szCs w:val="24"/>
        </w:rPr>
        <w:t xml:space="preserve"> </w:t>
      </w:r>
      <w:r w:rsidRPr="00727EE1" w:rsidR="00727EE1">
        <w:rPr>
          <w:sz w:val="20"/>
          <w:lang w:val="en-IE"/>
        </w:rPr>
        <w:t xml:space="preserve"> </w:t>
      </w:r>
    </w:p>
    <w:p w:rsidRPr="00F5469F" w:rsidR="00727EE1" w:rsidP="0049115F" w:rsidRDefault="00727EE1" w14:paraId="17584043" w14:textId="3EC81FF3">
      <w:pPr>
        <w:pStyle w:val="Heading1"/>
        <w:jc w:val="both"/>
      </w:pPr>
    </w:p>
    <w:tbl>
      <w:tblPr>
        <w:tblStyle w:val="TableGrid"/>
        <w:tblW w:w="9515" w:type="dxa"/>
        <w:tblInd w:w="31" w:type="dxa"/>
        <w:tblCellMar>
          <w:top w:w="261" w:type="dxa"/>
          <w:left w:w="169" w:type="dxa"/>
          <w:right w:w="117" w:type="dxa"/>
        </w:tblCellMar>
        <w:tblLook w:val="04A0" w:firstRow="1" w:lastRow="0" w:firstColumn="1" w:lastColumn="0" w:noHBand="0" w:noVBand="1"/>
      </w:tblPr>
      <w:tblGrid>
        <w:gridCol w:w="9515"/>
      </w:tblGrid>
      <w:tr w:rsidRPr="000246E1" w:rsidR="00727EE1" w:rsidTr="725F267F" w14:paraId="5E588E5F" w14:textId="77777777">
        <w:trPr>
          <w:trHeight w:val="9103"/>
        </w:trPr>
        <w:tc>
          <w:tcPr>
            <w:tcW w:w="9515" w:type="dxa"/>
            <w:tcBorders>
              <w:top w:val="single" w:color="BFBFBF" w:themeColor="background1" w:themeShade="BF" w:sz="20" w:space="0"/>
              <w:left w:val="single" w:color="BFBFBF" w:themeColor="background1" w:themeShade="BF" w:sz="20" w:space="0"/>
              <w:bottom w:val="single" w:color="BFBFBF" w:themeColor="background1" w:themeShade="BF" w:sz="20" w:space="0"/>
              <w:right w:val="single" w:color="BFBFBF" w:themeColor="background1" w:themeShade="BF" w:sz="20" w:space="0"/>
            </w:tcBorders>
            <w:shd w:val="clear" w:color="auto" w:fill="F2F2F2" w:themeFill="background1" w:themeFillShade="F2"/>
            <w:tcMar/>
          </w:tcPr>
          <w:p w:rsidR="00727EE1" w:rsidP="004947B0" w:rsidRDefault="00727EE1" w14:paraId="2FA5FD98" w14:textId="77777777">
            <w:pPr>
              <w:spacing w:after="218" w:line="259" w:lineRule="auto"/>
              <w:ind w:right="337"/>
              <w:jc w:val="both"/>
            </w:pPr>
            <w:r>
              <w:rPr>
                <w:rFonts w:ascii="Calibri" w:hAnsi="Calibri" w:eastAsia="Calibri" w:cs="Calibri"/>
                <w:b/>
              </w:rPr>
              <w:t xml:space="preserve">IMPORTANT NOTICE </w:t>
            </w:r>
          </w:p>
          <w:p w:rsidR="00727EE1" w:rsidP="004947B0" w:rsidRDefault="00727EE1" w14:paraId="0DFE6CFD" w14:textId="6CE205C0">
            <w:pPr>
              <w:spacing w:after="121" w:line="275" w:lineRule="auto"/>
              <w:ind w:right="47"/>
              <w:jc w:val="both"/>
            </w:pPr>
            <w:r>
              <w:t xml:space="preserve">For </w:t>
            </w:r>
            <w:r w:rsidR="00EA4833">
              <w:t>the participants</w:t>
            </w:r>
            <w:r>
              <w:t xml:space="preserve"> involved in </w:t>
            </w:r>
            <w:r w:rsidR="00E74B5D">
              <w:t xml:space="preserve">critical or </w:t>
            </w:r>
            <w:r>
              <w:t>security sensitive activities</w:t>
            </w:r>
            <w:r w:rsidR="0049115F">
              <w:t>,</w:t>
            </w:r>
            <w:r>
              <w:t xml:space="preserve"> the participation </w:t>
            </w:r>
            <w:r w:rsidR="00B01DDC">
              <w:t>in</w:t>
            </w:r>
            <w:r>
              <w:t xml:space="preserve"> </w:t>
            </w:r>
            <w:r w:rsidR="002356E0">
              <w:t xml:space="preserve">EUSST </w:t>
            </w:r>
            <w:r>
              <w:t>is open to economic operators fulfilling the following three cumulative conditions</w:t>
            </w:r>
            <w:r w:rsidR="00B01DDC">
              <w:t>:</w:t>
            </w:r>
            <w:r>
              <w:t xml:space="preserve">  </w:t>
            </w:r>
          </w:p>
          <w:p w:rsidR="00727EE1" w:rsidP="004947B0" w:rsidRDefault="00727EE1" w14:paraId="74A7E54C" w14:textId="7570A81E">
            <w:pPr>
              <w:numPr>
                <w:ilvl w:val="0"/>
                <w:numId w:val="6"/>
              </w:numPr>
              <w:spacing w:after="248" w:line="274" w:lineRule="auto"/>
              <w:jc w:val="both"/>
            </w:pPr>
            <w:r>
              <w:t xml:space="preserve">legal entities established in a Member State with their executive management structures established in that Member </w:t>
            </w:r>
            <w:r w:rsidR="00F94DC0">
              <w:t>State.</w:t>
            </w:r>
            <w:r>
              <w:t xml:space="preserve">  </w:t>
            </w:r>
          </w:p>
          <w:p w:rsidR="00727EE1" w:rsidP="004947B0" w:rsidRDefault="0049115F" w14:paraId="68148812" w14:textId="290C87D4">
            <w:pPr>
              <w:numPr>
                <w:ilvl w:val="1"/>
                <w:numId w:val="6"/>
              </w:numPr>
              <w:spacing w:after="44" w:line="275" w:lineRule="auto"/>
              <w:ind w:hanging="360"/>
              <w:jc w:val="both"/>
            </w:pPr>
            <w:r>
              <w:t>E</w:t>
            </w:r>
            <w:r w:rsidR="00727EE1">
              <w:t xml:space="preserve">conomic operators </w:t>
            </w:r>
            <w:proofErr w:type="gramStart"/>
            <w:r w:rsidR="00727EE1">
              <w:t>are considered to be</w:t>
            </w:r>
            <w:proofErr w:type="gramEnd"/>
            <w:r w:rsidR="00727EE1">
              <w:t xml:space="preserve"> established in the EU when they are formed in accordance with the law of a Member State and have their central administration, registered office and principal place of business in a Member State (if legal persons) or they are nationals of one of the Member States (if natural persons). </w:t>
            </w:r>
          </w:p>
          <w:p w:rsidR="00727EE1" w:rsidP="004947B0" w:rsidRDefault="00727EE1" w14:paraId="76B5174B" w14:textId="2AEFB589">
            <w:pPr>
              <w:numPr>
                <w:ilvl w:val="1"/>
                <w:numId w:val="6"/>
              </w:numPr>
              <w:spacing w:after="1" w:line="275" w:lineRule="auto"/>
              <w:ind w:hanging="360"/>
              <w:jc w:val="both"/>
            </w:pPr>
            <w:r>
              <w:t>‘Executive management structure’ means the body of the legal entity appointed in accordance with national law and which,</w:t>
            </w:r>
            <w:r w:rsidR="000246E1">
              <w:t xml:space="preserve"> </w:t>
            </w:r>
            <w:r>
              <w:t xml:space="preserve">where applicable, reports to the chief executive officer or any other person having comparable decisional power, and which is empowered to establish the legal entity's strategy, </w:t>
            </w:r>
            <w:proofErr w:type="gramStart"/>
            <w:r>
              <w:t>objectives</w:t>
            </w:r>
            <w:proofErr w:type="gramEnd"/>
            <w:r>
              <w:t xml:space="preserve"> and overall direction, and oversees and monitors management decision-making</w:t>
            </w:r>
            <w:r w:rsidR="0049115F">
              <w:t>.</w:t>
            </w:r>
            <w:r>
              <w:t xml:space="preserve"> </w:t>
            </w:r>
          </w:p>
          <w:p w:rsidR="00727EE1" w:rsidP="004947B0" w:rsidRDefault="00727EE1" w14:paraId="1C4B82A6" w14:textId="77777777">
            <w:pPr>
              <w:spacing w:after="16" w:line="259" w:lineRule="auto"/>
              <w:ind w:left="1428"/>
              <w:jc w:val="both"/>
            </w:pPr>
            <w:r>
              <w:t xml:space="preserve"> </w:t>
            </w:r>
          </w:p>
          <w:p w:rsidR="00727EE1" w:rsidP="004947B0" w:rsidRDefault="00727EE1" w14:paraId="17DFCB16" w14:textId="60C3A881">
            <w:pPr>
              <w:numPr>
                <w:ilvl w:val="0"/>
                <w:numId w:val="6"/>
              </w:numPr>
              <w:spacing w:after="19" w:line="259" w:lineRule="auto"/>
              <w:jc w:val="both"/>
            </w:pPr>
            <w:r>
              <w:t xml:space="preserve">economic operators committing to carry out all relevant activities in one or more Member </w:t>
            </w:r>
          </w:p>
          <w:p w:rsidR="00727EE1" w:rsidP="004947B0" w:rsidRDefault="00727EE1" w14:paraId="7F7EC7FB" w14:textId="77777777">
            <w:pPr>
              <w:spacing w:after="218" w:line="259" w:lineRule="auto"/>
              <w:jc w:val="both"/>
            </w:pPr>
            <w:r>
              <w:t xml:space="preserve">States; and </w:t>
            </w:r>
          </w:p>
          <w:p w:rsidR="00727EE1" w:rsidP="004947B0" w:rsidRDefault="00727EE1" w14:paraId="3DCAE2D7" w14:textId="77777777">
            <w:pPr>
              <w:numPr>
                <w:ilvl w:val="0"/>
                <w:numId w:val="6"/>
              </w:numPr>
              <w:spacing w:after="264" w:line="259" w:lineRule="auto"/>
              <w:jc w:val="both"/>
            </w:pPr>
            <w:r>
              <w:t xml:space="preserve">legal entities not being subject </w:t>
            </w:r>
            <w:bookmarkStart w:name="_Hlk136608429" w:id="0"/>
            <w:r>
              <w:t xml:space="preserve">to control by a third country or third country entity.  </w:t>
            </w:r>
            <w:bookmarkEnd w:id="0"/>
          </w:p>
          <w:p w:rsidRPr="00970EFD" w:rsidR="00970EFD" w:rsidP="00970EFD" w:rsidRDefault="00727EE1" w14:paraId="3A42E605" w14:textId="4E671475">
            <w:pPr>
              <w:numPr>
                <w:ilvl w:val="1"/>
                <w:numId w:val="6"/>
              </w:numPr>
              <w:spacing w:after="200" w:line="275" w:lineRule="auto"/>
              <w:ind w:hanging="360"/>
              <w:jc w:val="both"/>
            </w:pPr>
            <w:proofErr w:type="gramStart"/>
            <w:r>
              <w:t>For the purpose of</w:t>
            </w:r>
            <w:proofErr w:type="gramEnd"/>
            <w:r>
              <w:t xml:space="preserve"> this paragraph</w:t>
            </w:r>
            <w:r w:rsidR="0049115F">
              <w:t>,</w:t>
            </w:r>
            <w:r>
              <w:t xml:space="preserve"> ‘control’ means the ability to exercise a decisive influence over a legal entity directly or indirectly through one or more intermediate legal entities</w:t>
            </w:r>
            <w:r w:rsidR="0049115F">
              <w:t>.</w:t>
            </w:r>
            <w:r>
              <w:t xml:space="preserve"> </w:t>
            </w:r>
          </w:p>
          <w:p w:rsidR="00727EE1" w:rsidP="00582BD7" w:rsidRDefault="00727EE1" w14:paraId="6549E163" w14:textId="7DB172CE">
            <w:pPr>
              <w:spacing w:after="180" w:line="276" w:lineRule="auto"/>
              <w:ind w:right="47"/>
              <w:jc w:val="both"/>
            </w:pPr>
            <w:r w:rsidR="00727EE1">
              <w:rPr/>
              <w:t xml:space="preserve">This </w:t>
            </w:r>
            <w:r w:rsidR="44D46E48">
              <w:rPr/>
              <w:t>appendix</w:t>
            </w:r>
            <w:r w:rsidR="44D46E48">
              <w:rPr/>
              <w:t xml:space="preserve"> </w:t>
            </w:r>
            <w:r w:rsidR="44D46E48">
              <w:rPr/>
              <w:t>provides</w:t>
            </w:r>
            <w:r w:rsidR="44D46E48">
              <w:rPr/>
              <w:t xml:space="preserve"> instructions </w:t>
            </w:r>
            <w:r w:rsidR="614B8299">
              <w:rPr/>
              <w:t xml:space="preserve">how </w:t>
            </w:r>
            <w:r w:rsidR="44D46E48">
              <w:rPr/>
              <w:t xml:space="preserve">to </w:t>
            </w:r>
            <w:r w:rsidR="614B8299">
              <w:rPr/>
              <w:t>complete</w:t>
            </w:r>
            <w:r w:rsidR="009149CA">
              <w:rPr/>
              <w:t xml:space="preserve"> the</w:t>
            </w:r>
            <w:r w:rsidR="00727EE1">
              <w:rPr/>
              <w:t xml:space="preserve"> </w:t>
            </w:r>
            <w:r w:rsidR="009149CA">
              <w:rPr/>
              <w:t xml:space="preserve">Annex on </w:t>
            </w:r>
            <w:r w:rsidR="69761177">
              <w:rPr/>
              <w:t>P</w:t>
            </w:r>
            <w:r w:rsidR="009149CA">
              <w:rPr/>
              <w:t xml:space="preserve">articipating </w:t>
            </w:r>
            <w:r w:rsidR="1F371258">
              <w:rPr/>
              <w:t>C</w:t>
            </w:r>
            <w:r w:rsidR="009149CA">
              <w:rPr/>
              <w:t xml:space="preserve">onditions (named </w:t>
            </w:r>
            <w:r w:rsidR="009149CA">
              <w:rPr/>
              <w:t>hereafter</w:t>
            </w:r>
            <w:r w:rsidR="009149CA">
              <w:rPr/>
              <w:t xml:space="preserve"> </w:t>
            </w:r>
            <w:r w:rsidRPr="725F267F" w:rsidR="009149CA">
              <w:rPr>
                <w:i w:val="1"/>
                <w:iCs w:val="1"/>
              </w:rPr>
              <w:t>Annex PC</w:t>
            </w:r>
            <w:r w:rsidR="00727EE1">
              <w:rPr/>
              <w:t xml:space="preserve"> to </w:t>
            </w:r>
            <w:r w:rsidR="00727EE1">
              <w:rPr/>
              <w:t>be</w:t>
            </w:r>
            <w:r w:rsidR="00727EE1">
              <w:rPr/>
              <w:t xml:space="preserve"> </w:t>
            </w:r>
            <w:r w:rsidR="00727EE1">
              <w:rPr/>
              <w:t>filled</w:t>
            </w:r>
            <w:r w:rsidR="00727EE1">
              <w:rPr/>
              <w:t xml:space="preserve"> by </w:t>
            </w:r>
            <w:r w:rsidR="00727EE1">
              <w:rPr/>
              <w:t>each</w:t>
            </w:r>
            <w:r w:rsidR="00727EE1">
              <w:rPr/>
              <w:t xml:space="preserve"> </w:t>
            </w:r>
            <w:r w:rsidR="005F53F0">
              <w:rPr/>
              <w:t>entity</w:t>
            </w:r>
            <w:r w:rsidR="005F53F0">
              <w:rPr/>
              <w:t xml:space="preserve"> </w:t>
            </w:r>
            <w:r w:rsidR="00727EE1">
              <w:rPr/>
              <w:t>subject</w:t>
            </w:r>
            <w:r w:rsidR="00727EE1">
              <w:rPr/>
              <w:t xml:space="preserve"> to the</w:t>
            </w:r>
            <w:r w:rsidR="0CCCE1D2">
              <w:rPr/>
              <w:t xml:space="preserve"> </w:t>
            </w:r>
            <w:r w:rsidR="0CCCE1D2">
              <w:rPr/>
              <w:t>eligibility</w:t>
            </w:r>
            <w:r w:rsidR="0CCCE1D2">
              <w:rPr/>
              <w:t xml:space="preserve"> and</w:t>
            </w:r>
            <w:r w:rsidR="00727EE1">
              <w:rPr/>
              <w:t xml:space="preserve"> </w:t>
            </w:r>
            <w:r w:rsidR="00727EE1">
              <w:rPr/>
              <w:t>participating</w:t>
            </w:r>
            <w:r w:rsidR="00727EE1">
              <w:rPr/>
              <w:t xml:space="preserve"> conditions</w:t>
            </w:r>
            <w:r w:rsidR="44D46E48">
              <w:rPr/>
              <w:t>.</w:t>
            </w:r>
            <w:r w:rsidR="00727EE1">
              <w:rPr/>
              <w:t xml:space="preserve"> </w:t>
            </w:r>
            <w:r w:rsidRPr="725F267F" w:rsidR="614B8299">
              <w:rPr>
                <w:lang w:val="en-GB" w:eastAsia="zh-CN"/>
              </w:rPr>
              <w:t xml:space="preserve">For entities not carrying out </w:t>
            </w:r>
            <w:r w:rsidRPr="725F267F" w:rsidR="2DB8FA22">
              <w:rPr>
                <w:lang w:val="en-GB" w:eastAsia="zh-CN"/>
              </w:rPr>
              <w:t xml:space="preserve">critical or security </w:t>
            </w:r>
            <w:r w:rsidRPr="725F267F" w:rsidR="614B8299">
              <w:rPr>
                <w:lang w:val="en-GB" w:eastAsia="zh-CN"/>
              </w:rPr>
              <w:t xml:space="preserve">sensitive activities, as a minimum Section 1 and Section </w:t>
            </w:r>
            <w:r w:rsidRPr="725F267F" w:rsidR="6F98830C">
              <w:rPr>
                <w:lang w:val="en-GB" w:eastAsia="zh-CN"/>
              </w:rPr>
              <w:t>2</w:t>
            </w:r>
            <w:r w:rsidRPr="725F267F" w:rsidR="614B8299">
              <w:rPr>
                <w:lang w:val="en-GB" w:eastAsia="zh-CN"/>
              </w:rPr>
              <w:t xml:space="preserve">. </w:t>
            </w:r>
            <w:r w:rsidRPr="725F267F" w:rsidR="005F53F0">
              <w:rPr>
                <w:lang w:val="en-GB" w:eastAsia="zh-CN"/>
              </w:rPr>
              <w:t>of Annex PC</w:t>
            </w:r>
            <w:r w:rsidRPr="725F267F" w:rsidR="614B8299">
              <w:rPr>
                <w:lang w:val="en-GB" w:eastAsia="zh-CN"/>
              </w:rPr>
              <w:t xml:space="preserve"> to be completed.</w:t>
            </w:r>
          </w:p>
        </w:tc>
      </w:tr>
    </w:tbl>
    <w:p w:rsidRPr="00727EE1" w:rsidR="00727EE1" w:rsidP="004947B0" w:rsidRDefault="00727EE1" w14:paraId="065AB293" w14:textId="77777777">
      <w:pPr>
        <w:spacing w:after="16"/>
        <w:jc w:val="both"/>
        <w:rPr>
          <w:lang w:val="en-IE"/>
        </w:rPr>
      </w:pPr>
      <w:r w:rsidRPr="00727EE1">
        <w:rPr>
          <w:lang w:val="en-IE"/>
        </w:rPr>
        <w:t xml:space="preserve"> </w:t>
      </w:r>
    </w:p>
    <w:p w:rsidR="001B4E71" w:rsidP="004947B0" w:rsidRDefault="00727EE1" w14:paraId="60815FA2" w14:textId="4C5CA30D">
      <w:pPr>
        <w:spacing w:after="0"/>
        <w:jc w:val="both"/>
        <w:rPr>
          <w:lang w:val="en-IE"/>
        </w:rPr>
      </w:pPr>
      <w:r w:rsidRPr="00727EE1">
        <w:rPr>
          <w:lang w:val="en-IE"/>
        </w:rPr>
        <w:t xml:space="preserve"> </w:t>
      </w:r>
    </w:p>
    <w:p w:rsidRPr="00727EE1" w:rsidR="00727EE1" w:rsidP="00A02558" w:rsidRDefault="001B4E71" w14:paraId="3C9C1EF6" w14:textId="61EC1D56">
      <w:pPr>
        <w:rPr>
          <w:lang w:val="en-IE"/>
        </w:rPr>
      </w:pPr>
      <w:r>
        <w:rPr>
          <w:lang w:val="en-IE"/>
        </w:rPr>
        <w:br w:type="page"/>
      </w:r>
    </w:p>
    <w:p w:rsidRPr="00727EE1" w:rsidR="00727EE1" w:rsidP="00A10EB0" w:rsidRDefault="00727EE1" w14:paraId="2484EA31" w14:textId="069903A8">
      <w:pPr>
        <w:pStyle w:val="Heading1"/>
        <w:shd w:val="clear" w:color="auto" w:fill="4F81BD"/>
        <w:spacing w:after="69" w:line="267" w:lineRule="auto"/>
        <w:ind w:left="-5"/>
        <w:jc w:val="both"/>
      </w:pPr>
      <w:r>
        <w:rPr>
          <w:rFonts w:ascii="Calibri" w:hAnsi="Calibri" w:eastAsia="Calibri" w:cs="Calibri"/>
          <w:b/>
          <w:color w:val="FFFFFF"/>
          <w:sz w:val="22"/>
        </w:rPr>
        <w:lastRenderedPageBreak/>
        <w:t xml:space="preserve">GENERAL INSTRUCTIONS </w:t>
      </w:r>
    </w:p>
    <w:p w:rsidR="00727EE1" w:rsidP="00E817CE" w:rsidRDefault="001B4E71" w14:paraId="1A190DCE" w14:textId="65AB4997">
      <w:pPr>
        <w:spacing w:after="204"/>
        <w:ind w:left="-5" w:right="25"/>
        <w:jc w:val="both"/>
        <w:rPr>
          <w:rFonts w:ascii="Calibri" w:hAnsi="Calibri" w:eastAsia="Calibri" w:cs="Calibri"/>
          <w:b/>
          <w:lang w:val="en-IE"/>
        </w:rPr>
      </w:pPr>
      <w:r>
        <w:rPr>
          <w:lang w:val="en-IE"/>
        </w:rPr>
        <w:t xml:space="preserve">All information, declarations and </w:t>
      </w:r>
      <w:r w:rsidRPr="00727EE1" w:rsidR="00727EE1">
        <w:rPr>
          <w:lang w:val="en-IE"/>
        </w:rPr>
        <w:t xml:space="preserve">supporting documents shall be provided </w:t>
      </w:r>
      <w:r w:rsidR="005F53F0">
        <w:rPr>
          <w:lang w:val="en-IE"/>
        </w:rPr>
        <w:t>prior to (sub)contract signature</w:t>
      </w:r>
      <w:r w:rsidRPr="00727EE1" w:rsidR="00727EE1">
        <w:rPr>
          <w:lang w:val="en-IE"/>
        </w:rPr>
        <w:t xml:space="preserve"> and shall refer to circumstances existing at the time of submission. </w:t>
      </w:r>
      <w:r>
        <w:rPr>
          <w:lang w:val="en-IE"/>
        </w:rPr>
        <w:t xml:space="preserve">They </w:t>
      </w:r>
      <w:r w:rsidRPr="00727EE1" w:rsidR="00727EE1">
        <w:rPr>
          <w:lang w:val="en-IE"/>
        </w:rPr>
        <w:t>shall</w:t>
      </w:r>
      <w:r w:rsidRPr="00727EE1" w:rsidR="00727EE1">
        <w:rPr>
          <w:rFonts w:ascii="Calibri" w:hAnsi="Calibri" w:eastAsia="Calibri" w:cs="Calibri"/>
          <w:b/>
          <w:lang w:val="en-IE"/>
        </w:rPr>
        <w:t xml:space="preserve"> be signed by a legally appointed representative </w:t>
      </w:r>
      <w:r w:rsidRPr="00727EE1" w:rsidR="00727EE1">
        <w:rPr>
          <w:rFonts w:ascii="Calibri" w:hAnsi="Calibri" w:eastAsia="Calibri" w:cs="Calibri"/>
          <w:b/>
          <w:u w:val="single" w:color="000000"/>
          <w:lang w:val="en-IE"/>
        </w:rPr>
        <w:t>with powers to</w:t>
      </w:r>
      <w:r w:rsidRPr="00727EE1" w:rsidR="00727EE1">
        <w:rPr>
          <w:rFonts w:ascii="Calibri" w:hAnsi="Calibri" w:eastAsia="Calibri" w:cs="Calibri"/>
          <w:b/>
          <w:lang w:val="en-IE"/>
        </w:rPr>
        <w:t xml:space="preserve"> </w:t>
      </w:r>
      <w:r w:rsidRPr="00727EE1" w:rsidR="00727EE1">
        <w:rPr>
          <w:rFonts w:ascii="Calibri" w:hAnsi="Calibri" w:eastAsia="Calibri" w:cs="Calibri"/>
          <w:b/>
          <w:u w:val="single" w:color="000000"/>
          <w:lang w:val="en-IE"/>
        </w:rPr>
        <w:t>represent the company</w:t>
      </w:r>
      <w:r w:rsidR="007873B7">
        <w:rPr>
          <w:rFonts w:ascii="Calibri" w:hAnsi="Calibri" w:eastAsia="Calibri" w:cs="Calibri"/>
          <w:b/>
          <w:lang w:val="en-IE"/>
        </w:rPr>
        <w:t xml:space="preserve"> </w:t>
      </w:r>
      <w:r w:rsidR="007D17DD">
        <w:rPr>
          <w:rFonts w:ascii="Calibri" w:hAnsi="Calibri" w:eastAsia="Calibri" w:cs="Calibri"/>
          <w:b/>
          <w:lang w:val="en-IE"/>
        </w:rPr>
        <w:t>(</w:t>
      </w:r>
      <w:r w:rsidR="007873B7">
        <w:rPr>
          <w:rFonts w:ascii="Calibri" w:hAnsi="Calibri" w:eastAsia="Calibri" w:cs="Calibri"/>
          <w:b/>
          <w:lang w:val="en-IE"/>
        </w:rPr>
        <w:t xml:space="preserve">section </w:t>
      </w:r>
      <w:r w:rsidR="00743AB2">
        <w:rPr>
          <w:rFonts w:ascii="Calibri" w:hAnsi="Calibri" w:eastAsia="Calibri" w:cs="Calibri"/>
          <w:b/>
          <w:lang w:val="en-IE"/>
        </w:rPr>
        <w:t>4</w:t>
      </w:r>
      <w:r w:rsidR="007D17DD">
        <w:rPr>
          <w:rFonts w:ascii="Calibri" w:hAnsi="Calibri" w:eastAsia="Calibri" w:cs="Calibri"/>
          <w:b/>
          <w:lang w:val="en-IE"/>
        </w:rPr>
        <w:t>)</w:t>
      </w:r>
      <w:r w:rsidR="007873B7">
        <w:rPr>
          <w:rFonts w:ascii="Calibri" w:hAnsi="Calibri" w:eastAsia="Calibri" w:cs="Calibri"/>
          <w:b/>
          <w:lang w:val="en-IE"/>
        </w:rPr>
        <w:t>.</w:t>
      </w:r>
    </w:p>
    <w:p w:rsidRPr="00727EE1" w:rsidR="009967B1" w:rsidP="00E817CE" w:rsidRDefault="001B4E71" w14:paraId="408DD291" w14:textId="7733072F">
      <w:pPr>
        <w:spacing w:after="204"/>
        <w:ind w:left="-5" w:right="25"/>
        <w:jc w:val="both"/>
        <w:rPr>
          <w:lang w:val="en-IE"/>
        </w:rPr>
      </w:pPr>
      <w:r>
        <w:rPr>
          <w:rFonts w:ascii="Calibri" w:hAnsi="Calibri" w:eastAsia="Calibri" w:cs="Calibri"/>
          <w:b/>
          <w:lang w:val="en-IE"/>
        </w:rPr>
        <w:t>In case of electronic submission, t</w:t>
      </w:r>
      <w:r w:rsidR="009967B1">
        <w:rPr>
          <w:rFonts w:ascii="Calibri" w:hAnsi="Calibri" w:eastAsia="Calibri" w:cs="Calibri"/>
          <w:b/>
          <w:lang w:val="en-IE"/>
        </w:rPr>
        <w:t>he</w:t>
      </w:r>
      <w:r w:rsidRPr="00727EE1" w:rsidR="009967B1">
        <w:rPr>
          <w:rFonts w:ascii="Calibri" w:hAnsi="Calibri" w:eastAsia="Calibri" w:cs="Calibri"/>
          <w:b/>
          <w:lang w:val="en-IE"/>
        </w:rPr>
        <w:t xml:space="preserve"> </w:t>
      </w:r>
      <w:r w:rsidR="009149CA">
        <w:rPr>
          <w:rFonts w:ascii="Calibri" w:hAnsi="Calibri" w:eastAsia="Calibri" w:cs="Calibri"/>
          <w:b/>
          <w:lang w:val="en-IE"/>
        </w:rPr>
        <w:t>template</w:t>
      </w:r>
      <w:r w:rsidR="009967B1">
        <w:rPr>
          <w:rFonts w:ascii="Calibri" w:hAnsi="Calibri" w:eastAsia="Calibri" w:cs="Calibri"/>
          <w:b/>
          <w:lang w:val="en-IE"/>
        </w:rPr>
        <w:t xml:space="preserve"> </w:t>
      </w:r>
      <w:r w:rsidR="0027276A">
        <w:rPr>
          <w:rFonts w:ascii="Calibri" w:hAnsi="Calibri" w:eastAsia="Calibri" w:cs="Calibri"/>
          <w:b/>
          <w:lang w:val="en-IE"/>
        </w:rPr>
        <w:t xml:space="preserve">and </w:t>
      </w:r>
      <w:r w:rsidR="009967B1">
        <w:rPr>
          <w:rFonts w:ascii="Calibri" w:hAnsi="Calibri" w:eastAsia="Calibri" w:cs="Calibri"/>
          <w:b/>
          <w:lang w:val="en-IE"/>
        </w:rPr>
        <w:t xml:space="preserve">all the </w:t>
      </w:r>
      <w:r w:rsidR="00F94DC0">
        <w:rPr>
          <w:rFonts w:ascii="Calibri" w:hAnsi="Calibri" w:eastAsia="Calibri" w:cs="Calibri"/>
          <w:b/>
          <w:lang w:val="en-IE"/>
        </w:rPr>
        <w:t>evidence</w:t>
      </w:r>
      <w:r w:rsidR="009967B1">
        <w:rPr>
          <w:rFonts w:ascii="Calibri" w:hAnsi="Calibri" w:eastAsia="Calibri" w:cs="Calibri"/>
          <w:b/>
          <w:lang w:val="en-IE"/>
        </w:rPr>
        <w:t xml:space="preserve"> requested shall be delivered in a single dedicated zip archive. </w:t>
      </w:r>
      <w:r w:rsidRPr="00727EE1" w:rsidR="009967B1">
        <w:rPr>
          <w:lang w:val="en-IE"/>
        </w:rPr>
        <w:t xml:space="preserve"> </w:t>
      </w:r>
    </w:p>
    <w:p w:rsidRPr="00727EE1" w:rsidR="00727EE1" w:rsidP="00E817CE" w:rsidRDefault="00727EE1" w14:paraId="4E334D8F" w14:textId="13B1AF05">
      <w:pPr>
        <w:spacing w:after="204"/>
        <w:ind w:left="-5" w:right="25"/>
        <w:jc w:val="both"/>
        <w:rPr>
          <w:lang w:val="en-IE"/>
        </w:rPr>
      </w:pPr>
      <w:r w:rsidRPr="00727EE1">
        <w:rPr>
          <w:lang w:val="en-IE"/>
        </w:rPr>
        <w:t xml:space="preserve">Entities not compliant with the </w:t>
      </w:r>
      <w:r w:rsidR="001B4E71">
        <w:rPr>
          <w:lang w:val="en-IE"/>
        </w:rPr>
        <w:t xml:space="preserve">eligibility and </w:t>
      </w:r>
      <w:r w:rsidRPr="00727EE1">
        <w:rPr>
          <w:lang w:val="en-IE"/>
        </w:rPr>
        <w:t xml:space="preserve">participating conditions may issue a request for waiver </w:t>
      </w:r>
      <w:r w:rsidRPr="00727EE1">
        <w:rPr>
          <w:rFonts w:ascii="Calibri" w:hAnsi="Calibri" w:eastAsia="Calibri" w:cs="Calibri"/>
          <w:b/>
          <w:lang w:val="en-IE"/>
        </w:rPr>
        <w:t xml:space="preserve">at the time of submission of </w:t>
      </w:r>
      <w:r w:rsidRPr="00727EE1" w:rsidR="00F94DC0">
        <w:rPr>
          <w:rFonts w:ascii="Calibri" w:hAnsi="Calibri" w:eastAsia="Calibri" w:cs="Calibri"/>
          <w:b/>
          <w:lang w:val="en-IE"/>
        </w:rPr>
        <w:t xml:space="preserve">the </w:t>
      </w:r>
      <w:r w:rsidR="00F94DC0">
        <w:rPr>
          <w:rFonts w:ascii="Calibri" w:hAnsi="Calibri" w:eastAsia="Calibri" w:cs="Calibri"/>
          <w:b/>
          <w:lang w:val="en-IE"/>
        </w:rPr>
        <w:t>annex</w:t>
      </w:r>
      <w:r w:rsidR="005F53F0">
        <w:rPr>
          <w:rFonts w:ascii="Calibri" w:hAnsi="Calibri" w:eastAsia="Calibri" w:cs="Calibri"/>
          <w:b/>
          <w:lang w:val="en-IE"/>
        </w:rPr>
        <w:t xml:space="preserve"> PC</w:t>
      </w:r>
    </w:p>
    <w:p w:rsidRPr="00727EE1" w:rsidR="00727EE1" w:rsidP="00E817CE" w:rsidRDefault="00727EE1" w14:paraId="213349DB" w14:textId="6B59912F">
      <w:pPr>
        <w:ind w:left="-5" w:right="25"/>
        <w:jc w:val="both"/>
        <w:rPr>
          <w:lang w:val="en-IE"/>
        </w:rPr>
      </w:pPr>
      <w:r w:rsidRPr="00727EE1">
        <w:rPr>
          <w:lang w:val="en-IE"/>
        </w:rPr>
        <w:t>All the information provided in</w:t>
      </w:r>
      <w:r w:rsidR="00970EFD">
        <w:rPr>
          <w:lang w:val="en-IE"/>
        </w:rPr>
        <w:t xml:space="preserve"> the context of completion of</w:t>
      </w:r>
      <w:r w:rsidRPr="00727EE1">
        <w:rPr>
          <w:lang w:val="en-IE"/>
        </w:rPr>
        <w:t xml:space="preserve"> </w:t>
      </w:r>
      <w:r w:rsidRPr="009149CA">
        <w:rPr>
          <w:i/>
          <w:iCs/>
          <w:lang w:val="en-IE"/>
        </w:rPr>
        <w:t>Annex</w:t>
      </w:r>
      <w:r w:rsidRPr="009149CA" w:rsidR="00970EFD">
        <w:rPr>
          <w:i/>
          <w:iCs/>
          <w:lang w:val="en-IE"/>
        </w:rPr>
        <w:t xml:space="preserve"> </w:t>
      </w:r>
      <w:r w:rsidRPr="009149CA" w:rsidR="009149CA">
        <w:rPr>
          <w:i/>
          <w:iCs/>
          <w:lang w:val="en-IE"/>
        </w:rPr>
        <w:t>PC</w:t>
      </w:r>
      <w:r w:rsidRPr="00727EE1">
        <w:rPr>
          <w:lang w:val="en-IE"/>
        </w:rPr>
        <w:t xml:space="preserve"> will be treated according to Article 339 of the</w:t>
      </w:r>
      <w:r w:rsidR="00970EFD">
        <w:rPr>
          <w:lang w:val="en-IE"/>
        </w:rPr>
        <w:t xml:space="preserve"> Treaty on the Functioning of the European Union (TFEU</w:t>
      </w:r>
      <w:r w:rsidRPr="009149CA" w:rsidR="00970EFD">
        <w:rPr>
          <w:u w:val="single" w:color="0088CC"/>
          <w:lang w:val="en-IE"/>
        </w:rPr>
        <w:t>)</w:t>
      </w:r>
      <w:r>
        <w:rPr>
          <w:vertAlign w:val="superscript"/>
        </w:rPr>
        <w:footnoteReference w:id="1"/>
      </w:r>
      <w:r w:rsidRPr="00727EE1">
        <w:rPr>
          <w:lang w:val="en-IE"/>
        </w:rPr>
        <w:t xml:space="preserve">.  </w:t>
      </w:r>
    </w:p>
    <w:p w:rsidRPr="00727EE1" w:rsidR="00727EE1" w:rsidP="004947B0" w:rsidRDefault="00727EE1" w14:paraId="6A834542" w14:textId="193D0230">
      <w:pPr>
        <w:spacing w:after="0"/>
        <w:jc w:val="both"/>
        <w:rPr>
          <w:lang w:val="en-IE"/>
        </w:rPr>
      </w:pPr>
    </w:p>
    <w:p w:rsidRPr="00727EE1" w:rsidR="00727EE1" w:rsidP="00A10EB0" w:rsidRDefault="00727EE1" w14:paraId="5C394EA9" w14:textId="0FA97D99">
      <w:pPr>
        <w:pStyle w:val="Heading1"/>
        <w:shd w:val="clear" w:color="auto" w:fill="4F81BD"/>
        <w:spacing w:after="69" w:line="267" w:lineRule="auto"/>
        <w:ind w:left="-5"/>
        <w:jc w:val="both"/>
      </w:pPr>
      <w:r>
        <w:rPr>
          <w:rFonts w:ascii="Calibri" w:hAnsi="Calibri" w:eastAsia="Calibri" w:cs="Calibri"/>
          <w:b/>
          <w:color w:val="FFFFFF"/>
          <w:sz w:val="22"/>
        </w:rPr>
        <w:t>ESTABLISHMENT AND EXECUTIVE MANAGEMENT STRUCTURE</w:t>
      </w:r>
      <w:r w:rsidR="00763F43">
        <w:rPr>
          <w:rFonts w:ascii="Calibri" w:hAnsi="Calibri" w:eastAsia="Calibri" w:cs="Calibri"/>
          <w:b/>
          <w:color w:val="FFFFFF"/>
          <w:sz w:val="22"/>
        </w:rPr>
        <w:t>S</w:t>
      </w:r>
      <w:r>
        <w:rPr>
          <w:rFonts w:ascii="Calibri" w:hAnsi="Calibri" w:eastAsia="Calibri" w:cs="Calibri"/>
          <w:b/>
          <w:color w:val="FFFFFF"/>
          <w:sz w:val="22"/>
        </w:rPr>
        <w:t xml:space="preserve"> IN A MEMBER STATE</w:t>
      </w:r>
    </w:p>
    <w:p w:rsidRPr="007D17DD" w:rsidR="00F94DC0" w:rsidP="00F94DC0" w:rsidRDefault="00727EE1" w14:paraId="00956BB9" w14:textId="6BEE8D6C">
      <w:pPr>
        <w:spacing w:after="241"/>
        <w:ind w:left="-5" w:right="25"/>
        <w:jc w:val="both"/>
        <w:rPr>
          <w:lang w:val="en-IE"/>
        </w:rPr>
      </w:pPr>
      <w:r w:rsidRPr="007D17DD">
        <w:rPr>
          <w:b/>
          <w:bCs/>
          <w:lang w:val="en-IE"/>
        </w:rPr>
        <w:t>Required evidence:</w:t>
      </w:r>
      <w:r w:rsidRPr="007D17DD">
        <w:rPr>
          <w:lang w:val="en-IE"/>
        </w:rPr>
        <w:t xml:space="preserve"> </w:t>
      </w:r>
      <w:r w:rsidRPr="007D17DD" w:rsidR="00F94DC0">
        <w:rPr>
          <w:lang w:val="en-IE"/>
        </w:rPr>
        <w:t>declaration of s</w:t>
      </w:r>
      <w:r w:rsidR="00F94DC0">
        <w:rPr>
          <w:lang w:val="en-IE"/>
        </w:rPr>
        <w:t>ection 1 and:</w:t>
      </w:r>
    </w:p>
    <w:p w:rsidRPr="00727EE1" w:rsidR="00727EE1" w:rsidP="00E817CE" w:rsidRDefault="00727EE1" w14:paraId="0E139101" w14:textId="77777777">
      <w:pPr>
        <w:numPr>
          <w:ilvl w:val="0"/>
          <w:numId w:val="1"/>
        </w:numPr>
        <w:spacing w:after="31"/>
        <w:ind w:right="25" w:hanging="360"/>
        <w:jc w:val="both"/>
        <w:rPr>
          <w:lang w:val="en-IE"/>
        </w:rPr>
      </w:pPr>
      <w:r w:rsidRPr="00727EE1">
        <w:rPr>
          <w:u w:val="single" w:color="000000"/>
          <w:lang w:val="en-IE"/>
        </w:rPr>
        <w:t>Place of establishment of the ‘legal entity’:</w:t>
      </w:r>
      <w:r w:rsidRPr="00727EE1">
        <w:rPr>
          <w:lang w:val="en-IE"/>
        </w:rPr>
        <w:t xml:space="preserve">  </w:t>
      </w:r>
    </w:p>
    <w:p w:rsidRPr="00727EE1" w:rsidR="00727EE1" w:rsidP="00E817CE" w:rsidRDefault="00727EE1" w14:paraId="1FAE8CD6" w14:textId="24D35AFD">
      <w:pPr>
        <w:numPr>
          <w:ilvl w:val="1"/>
          <w:numId w:val="1"/>
        </w:numPr>
        <w:spacing w:after="37"/>
        <w:ind w:right="25" w:hanging="360"/>
        <w:jc w:val="both"/>
        <w:rPr>
          <w:lang w:val="en-IE"/>
        </w:rPr>
      </w:pPr>
      <w:r w:rsidRPr="00727EE1">
        <w:rPr>
          <w:lang w:val="en-IE"/>
        </w:rPr>
        <w:t xml:space="preserve">An extract from the relevant register proving that the registered office of the entity is one of the Member </w:t>
      </w:r>
      <w:r w:rsidRPr="00727EE1" w:rsidR="00F94DC0">
        <w:rPr>
          <w:lang w:val="en-IE"/>
        </w:rPr>
        <w:t>States.</w:t>
      </w:r>
      <w:r w:rsidRPr="00727EE1">
        <w:rPr>
          <w:lang w:val="en-IE"/>
        </w:rPr>
        <w:t xml:space="preserve"> </w:t>
      </w:r>
    </w:p>
    <w:p w:rsidRPr="00727EE1" w:rsidR="00727EE1" w:rsidP="00E817CE" w:rsidRDefault="00727EE1" w14:paraId="065DAD6F" w14:textId="5C498244">
      <w:pPr>
        <w:numPr>
          <w:ilvl w:val="0"/>
          <w:numId w:val="1"/>
        </w:numPr>
        <w:spacing w:after="31"/>
        <w:ind w:right="25" w:hanging="360"/>
        <w:jc w:val="both"/>
        <w:rPr>
          <w:lang w:val="en-IE"/>
        </w:rPr>
      </w:pPr>
      <w:r w:rsidRPr="00727EE1">
        <w:rPr>
          <w:u w:val="single" w:color="000000"/>
          <w:lang w:val="en-IE"/>
        </w:rPr>
        <w:t>the ‘executive management structures’ of the entity to be in a Member State:</w:t>
      </w:r>
      <w:r w:rsidRPr="00727EE1">
        <w:rPr>
          <w:lang w:val="en-IE"/>
        </w:rPr>
        <w:t xml:space="preserve"> </w:t>
      </w:r>
    </w:p>
    <w:p w:rsidRPr="00A02558" w:rsidR="00727EE1" w:rsidP="00E817CE" w:rsidRDefault="00727EE1" w14:paraId="0CFBE606" w14:textId="5B56669D">
      <w:pPr>
        <w:numPr>
          <w:ilvl w:val="1"/>
          <w:numId w:val="1"/>
        </w:numPr>
        <w:spacing w:after="0" w:line="278" w:lineRule="auto"/>
        <w:ind w:right="25" w:hanging="360"/>
        <w:jc w:val="both"/>
        <w:rPr>
          <w:lang w:val="en-IE"/>
        </w:rPr>
      </w:pPr>
      <w:r w:rsidRPr="00727EE1">
        <w:rPr>
          <w:lang w:val="en-IE"/>
        </w:rPr>
        <w:t>An extract from the relevant register proving that the head office or executive management structure in in one of th</w:t>
      </w:r>
      <w:r w:rsidR="00763F43">
        <w:rPr>
          <w:lang w:val="en-IE"/>
        </w:rPr>
        <w:t>e</w:t>
      </w:r>
      <w:r w:rsidRPr="00727EE1">
        <w:rPr>
          <w:lang w:val="en-IE"/>
        </w:rPr>
        <w:t xml:space="preserve"> Member States. In case of the lack of such information disclosed in the register, the proof may encompass: any official document, including the instruments of constitution, and memorandum and articles of association if they are contained in a separate instrument, a </w:t>
      </w:r>
      <w:proofErr w:type="gramStart"/>
      <w:r w:rsidRPr="00727EE1">
        <w:rPr>
          <w:lang w:val="en-IE"/>
        </w:rPr>
        <w:t>resolution</w:t>
      </w:r>
      <w:proofErr w:type="gramEnd"/>
      <w:r w:rsidRPr="00727EE1">
        <w:rPr>
          <w:lang w:val="en-IE"/>
        </w:rPr>
        <w:t xml:space="preserve"> or a decision, or in the case of the lack of thereof, the declaration under oath/sworn statement that the </w:t>
      </w:r>
      <w:r w:rsidR="0027276A">
        <w:rPr>
          <w:lang w:val="en-IE"/>
        </w:rPr>
        <w:t>‘</w:t>
      </w:r>
      <w:r w:rsidRPr="00727EE1">
        <w:rPr>
          <w:lang w:val="en-IE"/>
        </w:rPr>
        <w:t xml:space="preserve">executive management structures’ </w:t>
      </w:r>
      <w:r w:rsidR="0027276A">
        <w:rPr>
          <w:lang w:val="en-IE"/>
        </w:rPr>
        <w:t>are</w:t>
      </w:r>
      <w:r w:rsidRPr="00727EE1">
        <w:rPr>
          <w:lang w:val="en-IE"/>
        </w:rPr>
        <w:t xml:space="preserve"> in one of the Member </w:t>
      </w:r>
      <w:r w:rsidRPr="00727EE1" w:rsidR="00F94DC0">
        <w:rPr>
          <w:lang w:val="en-IE"/>
        </w:rPr>
        <w:t>States.</w:t>
      </w:r>
      <w:r w:rsidRPr="00727EE1">
        <w:rPr>
          <w:sz w:val="20"/>
          <w:lang w:val="en-IE"/>
        </w:rPr>
        <w:t xml:space="preserve"> </w:t>
      </w:r>
    </w:p>
    <w:p w:rsidR="00727EE1" w:rsidP="004947B0" w:rsidRDefault="00727EE1" w14:paraId="36B432BF" w14:textId="149486BE">
      <w:pPr>
        <w:pStyle w:val="Heading1"/>
        <w:shd w:val="clear" w:color="auto" w:fill="4F81BD"/>
        <w:spacing w:after="69" w:line="267" w:lineRule="auto"/>
        <w:ind w:left="-5"/>
        <w:jc w:val="both"/>
      </w:pPr>
      <w:r>
        <w:rPr>
          <w:rFonts w:ascii="Calibri" w:hAnsi="Calibri" w:eastAsia="Calibri" w:cs="Calibri"/>
          <w:b/>
          <w:color w:val="FFFFFF"/>
          <w:sz w:val="22"/>
        </w:rPr>
        <w:t xml:space="preserve">ACTIVITIES IN A MEMBER STATE </w:t>
      </w:r>
    </w:p>
    <w:p w:rsidR="00F94DC0" w:rsidP="009149CA" w:rsidRDefault="00F94DC0" w14:paraId="55B11706" w14:textId="77777777">
      <w:pPr>
        <w:ind w:right="25"/>
        <w:jc w:val="both"/>
        <w:rPr>
          <w:lang w:val="en-IE"/>
        </w:rPr>
      </w:pPr>
    </w:p>
    <w:p w:rsidRPr="00727EE1" w:rsidR="00727EE1" w:rsidP="009149CA" w:rsidRDefault="00763F43" w14:paraId="3A0B9690" w14:textId="1DE43F65">
      <w:pPr>
        <w:ind w:right="25"/>
        <w:jc w:val="both"/>
        <w:rPr>
          <w:lang w:val="en-IE"/>
        </w:rPr>
      </w:pPr>
      <w:r w:rsidRPr="007D17DD">
        <w:rPr>
          <w:b/>
          <w:bCs/>
          <w:lang w:val="en-IE"/>
        </w:rPr>
        <w:t>Required evidence</w:t>
      </w:r>
      <w:r w:rsidRPr="00727EE1">
        <w:rPr>
          <w:lang w:val="en-IE"/>
        </w:rPr>
        <w:t xml:space="preserve">: the declaration </w:t>
      </w:r>
      <w:r>
        <w:rPr>
          <w:lang w:val="en-IE"/>
        </w:rPr>
        <w:t>set up in Section 2</w:t>
      </w:r>
      <w:r w:rsidR="00984E0B">
        <w:rPr>
          <w:lang w:val="en-IE"/>
        </w:rPr>
        <w:t>.3</w:t>
      </w:r>
      <w:r>
        <w:rPr>
          <w:lang w:val="en-IE"/>
        </w:rPr>
        <w:t xml:space="preserve"> of </w:t>
      </w:r>
      <w:r w:rsidRPr="009149CA" w:rsidR="009149CA">
        <w:rPr>
          <w:i/>
          <w:iCs/>
          <w:lang w:val="en-IE"/>
        </w:rPr>
        <w:t>Annex PC</w:t>
      </w:r>
      <w:r w:rsidR="00984E0B">
        <w:rPr>
          <w:lang w:val="en-IE"/>
        </w:rPr>
        <w:t xml:space="preserve"> or declaration</w:t>
      </w:r>
      <w:r w:rsidR="00101939">
        <w:rPr>
          <w:lang w:val="en-IE"/>
        </w:rPr>
        <w:t xml:space="preserve"> of </w:t>
      </w:r>
      <w:r w:rsidR="00984E0B">
        <w:rPr>
          <w:lang w:val="en-IE"/>
        </w:rPr>
        <w:t>annex 2.2</w:t>
      </w:r>
      <w:r w:rsidR="00101939">
        <w:rPr>
          <w:lang w:val="en-IE"/>
        </w:rPr>
        <w:t xml:space="preserve"> for </w:t>
      </w:r>
      <w:r w:rsidRPr="00101939" w:rsidR="00101939">
        <w:rPr>
          <w:lang w:val="en-IE"/>
        </w:rPr>
        <w:t xml:space="preserve">all </w:t>
      </w:r>
      <w:r w:rsidRPr="007D17DD" w:rsidR="00101939">
        <w:rPr>
          <w:rFonts w:ascii="Calibri" w:hAnsi="Calibri" w:eastAsia="Calibri" w:cs="Calibri"/>
          <w:lang w:val="en-IE"/>
        </w:rPr>
        <w:t xml:space="preserve">infrastructure, facilities, </w:t>
      </w:r>
      <w:r w:rsidRPr="00743AB2" w:rsidR="00743AB2">
        <w:rPr>
          <w:rFonts w:ascii="Calibri" w:hAnsi="Calibri" w:eastAsia="Calibri" w:cs="Calibri"/>
          <w:lang w:val="en-IE"/>
        </w:rPr>
        <w:t>assets,</w:t>
      </w:r>
      <w:r w:rsidRPr="007D17DD" w:rsidR="00101939">
        <w:rPr>
          <w:rFonts w:ascii="Calibri" w:hAnsi="Calibri" w:eastAsia="Calibri" w:cs="Calibri"/>
          <w:lang w:val="en-IE"/>
        </w:rPr>
        <w:t xml:space="preserve"> and resources</w:t>
      </w:r>
      <w:r w:rsidR="00984E0B">
        <w:rPr>
          <w:lang w:val="en-IE"/>
        </w:rPr>
        <w:t xml:space="preserve"> </w:t>
      </w:r>
      <w:r w:rsidR="00101939">
        <w:rPr>
          <w:lang w:val="en-IE"/>
        </w:rPr>
        <w:t>located outside EU territory associated with the</w:t>
      </w:r>
      <w:r w:rsidR="00984E0B">
        <w:rPr>
          <w:lang w:val="en-IE"/>
        </w:rPr>
        <w:t xml:space="preserve"> requests for waivers (section </w:t>
      </w:r>
      <w:r w:rsidR="00743AB2">
        <w:rPr>
          <w:lang w:val="en-IE"/>
        </w:rPr>
        <w:t>5</w:t>
      </w:r>
      <w:r w:rsidR="00984E0B">
        <w:rPr>
          <w:lang w:val="en-IE"/>
        </w:rPr>
        <w:t>) when not compliant.</w:t>
      </w:r>
    </w:p>
    <w:p w:rsidR="009149CA" w:rsidP="00E817CE" w:rsidRDefault="00727EE1" w14:paraId="10B3A07A" w14:textId="01DD0149">
      <w:pPr>
        <w:spacing w:after="207" w:line="267" w:lineRule="auto"/>
        <w:ind w:right="25"/>
        <w:jc w:val="both"/>
        <w:rPr>
          <w:lang w:val="en-IE"/>
        </w:rPr>
      </w:pPr>
      <w:r w:rsidRPr="00727EE1">
        <w:rPr>
          <w:rFonts w:ascii="Calibri" w:hAnsi="Calibri" w:eastAsia="Calibri" w:cs="Calibri"/>
          <w:b/>
          <w:lang w:val="en-IE"/>
        </w:rPr>
        <w:t>Entities subject to</w:t>
      </w:r>
      <w:r w:rsidR="00763F43">
        <w:rPr>
          <w:rFonts w:ascii="Calibri" w:hAnsi="Calibri" w:eastAsia="Calibri" w:cs="Calibri"/>
          <w:b/>
          <w:lang w:val="en-IE"/>
        </w:rPr>
        <w:t xml:space="preserve"> eligibility and</w:t>
      </w:r>
      <w:r w:rsidRPr="00727EE1">
        <w:rPr>
          <w:rFonts w:ascii="Calibri" w:hAnsi="Calibri" w:eastAsia="Calibri" w:cs="Calibri"/>
          <w:b/>
          <w:lang w:val="en-IE"/>
        </w:rPr>
        <w:t xml:space="preserve"> participating conditions </w:t>
      </w:r>
      <w:r w:rsidR="00F80C47">
        <w:rPr>
          <w:rFonts w:ascii="Calibri" w:hAnsi="Calibri" w:eastAsia="Calibri" w:cs="Calibri"/>
          <w:b/>
          <w:lang w:val="en-IE"/>
        </w:rPr>
        <w:t xml:space="preserve">will </w:t>
      </w:r>
      <w:r w:rsidR="007B10AB">
        <w:rPr>
          <w:rFonts w:ascii="Calibri" w:hAnsi="Calibri" w:eastAsia="Calibri" w:cs="Calibri"/>
          <w:b/>
          <w:lang w:val="en-IE"/>
        </w:rPr>
        <w:t xml:space="preserve">are requested </w:t>
      </w:r>
      <w:r w:rsidR="009149CA">
        <w:rPr>
          <w:rFonts w:ascii="Calibri" w:hAnsi="Calibri" w:eastAsia="Calibri" w:cs="Calibri"/>
          <w:b/>
          <w:lang w:val="en-IE"/>
        </w:rPr>
        <w:t>prior to the signature of the contract to</w:t>
      </w:r>
      <w:r w:rsidRPr="00727EE1">
        <w:rPr>
          <w:rFonts w:ascii="Calibri" w:hAnsi="Calibri" w:eastAsia="Calibri" w:cs="Calibri"/>
          <w:b/>
          <w:lang w:val="en-IE"/>
        </w:rPr>
        <w:t xml:space="preserve"> describe and locate all infrastructure, facilities, </w:t>
      </w:r>
      <w:proofErr w:type="gramStart"/>
      <w:r w:rsidRPr="00727EE1">
        <w:rPr>
          <w:rFonts w:ascii="Calibri" w:hAnsi="Calibri" w:eastAsia="Calibri" w:cs="Calibri"/>
          <w:b/>
          <w:lang w:val="en-IE"/>
        </w:rPr>
        <w:t>assets</w:t>
      </w:r>
      <w:proofErr w:type="gramEnd"/>
      <w:r w:rsidRPr="00727EE1">
        <w:rPr>
          <w:rFonts w:ascii="Calibri" w:hAnsi="Calibri" w:eastAsia="Calibri" w:cs="Calibri"/>
          <w:b/>
          <w:lang w:val="en-IE"/>
        </w:rPr>
        <w:t xml:space="preserve"> and resources, which </w:t>
      </w:r>
      <w:r w:rsidR="005F53F0">
        <w:rPr>
          <w:rFonts w:ascii="Calibri" w:hAnsi="Calibri" w:eastAsia="Calibri" w:cs="Calibri"/>
          <w:b/>
          <w:lang w:val="en-IE"/>
        </w:rPr>
        <w:t>are outside of the EU territory</w:t>
      </w:r>
      <w:r w:rsidRPr="00727EE1" w:rsidR="005F53F0">
        <w:rPr>
          <w:rFonts w:ascii="Calibri" w:hAnsi="Calibri" w:eastAsia="Calibri" w:cs="Calibri"/>
          <w:b/>
          <w:lang w:val="en-IE"/>
        </w:rPr>
        <w:t xml:space="preserve"> </w:t>
      </w:r>
      <w:r w:rsidR="005F53F0">
        <w:rPr>
          <w:rFonts w:ascii="Calibri" w:hAnsi="Calibri" w:eastAsia="Calibri" w:cs="Calibri"/>
          <w:b/>
          <w:lang w:val="en-IE"/>
        </w:rPr>
        <w:t xml:space="preserve">and </w:t>
      </w:r>
      <w:r w:rsidRPr="00727EE1">
        <w:rPr>
          <w:rFonts w:ascii="Calibri" w:hAnsi="Calibri" w:eastAsia="Calibri" w:cs="Calibri"/>
          <w:b/>
          <w:lang w:val="en-IE"/>
        </w:rPr>
        <w:t>will be used</w:t>
      </w:r>
      <w:r w:rsidRPr="00727EE1">
        <w:rPr>
          <w:lang w:val="en-IE"/>
        </w:rPr>
        <w:t xml:space="preserve"> </w:t>
      </w:r>
      <w:r w:rsidRPr="00727EE1">
        <w:rPr>
          <w:rFonts w:ascii="Calibri" w:hAnsi="Calibri" w:eastAsia="Calibri" w:cs="Calibri"/>
          <w:b/>
          <w:lang w:val="en-IE"/>
        </w:rPr>
        <w:t xml:space="preserve">for the implementation of the </w:t>
      </w:r>
      <w:r w:rsidR="00763F43">
        <w:rPr>
          <w:rFonts w:ascii="Calibri" w:hAnsi="Calibri" w:eastAsia="Calibri" w:cs="Calibri"/>
          <w:b/>
          <w:lang w:val="en-IE"/>
        </w:rPr>
        <w:t xml:space="preserve">relevant </w:t>
      </w:r>
      <w:r w:rsidRPr="00727EE1" w:rsidR="00F94DC0">
        <w:rPr>
          <w:rFonts w:ascii="Calibri" w:hAnsi="Calibri" w:eastAsia="Calibri" w:cs="Calibri"/>
          <w:b/>
          <w:lang w:val="en-IE"/>
        </w:rPr>
        <w:t>activities</w:t>
      </w:r>
      <w:r w:rsidR="00F94DC0">
        <w:rPr>
          <w:rFonts w:ascii="Calibri" w:hAnsi="Calibri" w:eastAsia="Calibri" w:cs="Calibri"/>
          <w:b/>
          <w:lang w:val="en-IE"/>
        </w:rPr>
        <w:t xml:space="preserve"> and</w:t>
      </w:r>
      <w:r w:rsidR="007B10AB">
        <w:rPr>
          <w:rFonts w:ascii="Calibri" w:hAnsi="Calibri" w:eastAsia="Calibri" w:cs="Calibri"/>
          <w:b/>
          <w:lang w:val="en-IE"/>
        </w:rPr>
        <w:t xml:space="preserve"> fill the associated request for waiver</w:t>
      </w:r>
      <w:r w:rsidR="00743AB2">
        <w:rPr>
          <w:rFonts w:ascii="Calibri" w:hAnsi="Calibri" w:eastAsia="Calibri" w:cs="Calibri"/>
          <w:b/>
          <w:lang w:val="en-IE"/>
        </w:rPr>
        <w:t xml:space="preserve"> (section 5)</w:t>
      </w:r>
      <w:r w:rsidRPr="00727EE1">
        <w:rPr>
          <w:lang w:val="en-IE"/>
        </w:rPr>
        <w:t xml:space="preserve">. This may for example include location of offices, laboratories, testing facilities, but also the software and human resources required/involved. </w:t>
      </w:r>
      <w:r w:rsidR="00B57E89">
        <w:rPr>
          <w:lang w:val="en-IE"/>
        </w:rPr>
        <w:t xml:space="preserve">For SST </w:t>
      </w:r>
      <w:r w:rsidR="00B57E89">
        <w:rPr>
          <w:lang w:val="en-IE"/>
        </w:rPr>
        <w:lastRenderedPageBreak/>
        <w:t xml:space="preserve">Sensors </w:t>
      </w:r>
      <w:r w:rsidR="009149CA">
        <w:rPr>
          <w:lang w:val="en-IE"/>
        </w:rPr>
        <w:t xml:space="preserve">the </w:t>
      </w:r>
      <w:r w:rsidR="00B57E89">
        <w:rPr>
          <w:lang w:val="en-IE"/>
        </w:rPr>
        <w:t xml:space="preserve">exact </w:t>
      </w:r>
      <w:r w:rsidR="009149CA">
        <w:rPr>
          <w:lang w:val="en-IE"/>
        </w:rPr>
        <w:t>location</w:t>
      </w:r>
      <w:r w:rsidR="00984E0B">
        <w:rPr>
          <w:lang w:val="en-IE"/>
        </w:rPr>
        <w:t xml:space="preserve"> of the sensor</w:t>
      </w:r>
      <w:r w:rsidR="009149CA">
        <w:rPr>
          <w:lang w:val="en-IE"/>
        </w:rPr>
        <w:t xml:space="preserve"> </w:t>
      </w:r>
      <w:r w:rsidR="00B57E89">
        <w:rPr>
          <w:lang w:val="en-IE"/>
        </w:rPr>
        <w:t xml:space="preserve">and the location of the facility </w:t>
      </w:r>
      <w:r w:rsidR="00984E0B">
        <w:rPr>
          <w:lang w:val="en-IE"/>
        </w:rPr>
        <w:t>performing</w:t>
      </w:r>
      <w:r w:rsidR="009149CA">
        <w:rPr>
          <w:lang w:val="en-IE"/>
        </w:rPr>
        <w:t xml:space="preserve"> the </w:t>
      </w:r>
      <w:r w:rsidR="00B57E89">
        <w:rPr>
          <w:lang w:val="en-IE"/>
        </w:rPr>
        <w:t>operations</w:t>
      </w:r>
      <w:r w:rsidR="009149CA">
        <w:rPr>
          <w:lang w:val="en-IE"/>
        </w:rPr>
        <w:t xml:space="preserve"> </w:t>
      </w:r>
      <w:r w:rsidR="00B57E89">
        <w:rPr>
          <w:lang w:val="en-IE"/>
        </w:rPr>
        <w:t>must</w:t>
      </w:r>
      <w:r w:rsidR="009149CA">
        <w:rPr>
          <w:lang w:val="en-IE"/>
        </w:rPr>
        <w:t xml:space="preserve"> be </w:t>
      </w:r>
      <w:r w:rsidR="00B57E89">
        <w:rPr>
          <w:lang w:val="en-IE"/>
        </w:rPr>
        <w:t>indicated</w:t>
      </w:r>
      <w:r w:rsidR="00984E0B">
        <w:rPr>
          <w:lang w:val="en-IE"/>
        </w:rPr>
        <w:t xml:space="preserve"> when outside of the EU territory</w:t>
      </w:r>
    </w:p>
    <w:p w:rsidR="007B10AB" w:rsidP="00E817CE" w:rsidRDefault="007B10AB" w14:paraId="628CC75D" w14:textId="77777777">
      <w:pPr>
        <w:spacing w:after="207" w:line="267" w:lineRule="auto"/>
        <w:ind w:right="25"/>
        <w:jc w:val="both"/>
        <w:rPr>
          <w:lang w:val="en-IE"/>
        </w:rPr>
      </w:pPr>
    </w:p>
    <w:p w:rsidRPr="00727EE1" w:rsidR="00727EE1" w:rsidP="00E817CE" w:rsidRDefault="00727EE1" w14:paraId="699BEF99" w14:textId="1C249EFD">
      <w:pPr>
        <w:spacing w:after="207" w:line="267" w:lineRule="auto"/>
        <w:ind w:right="25"/>
        <w:jc w:val="both"/>
        <w:rPr>
          <w:lang w:val="en-IE"/>
        </w:rPr>
      </w:pPr>
      <w:r w:rsidRPr="00727EE1">
        <w:rPr>
          <w:rFonts w:ascii="Calibri" w:hAnsi="Calibri" w:eastAsia="Calibri" w:cs="Calibri"/>
          <w:b/>
          <w:lang w:val="en-IE"/>
        </w:rPr>
        <w:t>In case the usage of space assets or services or the usage of cloud facilities or services</w:t>
      </w:r>
      <w:r w:rsidR="007B10AB">
        <w:rPr>
          <w:rFonts w:ascii="Calibri" w:hAnsi="Calibri" w:eastAsia="Calibri" w:cs="Calibri"/>
          <w:b/>
          <w:lang w:val="en-IE"/>
        </w:rPr>
        <w:t xml:space="preserve"> located outside the EU</w:t>
      </w:r>
      <w:r w:rsidRPr="00727EE1">
        <w:rPr>
          <w:rFonts w:ascii="Calibri" w:hAnsi="Calibri" w:eastAsia="Calibri" w:cs="Calibri"/>
          <w:b/>
          <w:lang w:val="en-IE"/>
        </w:rPr>
        <w:t xml:space="preserve"> is required to carry out the action, they need to be specified</w:t>
      </w:r>
      <w:r w:rsidRPr="00727EE1">
        <w:rPr>
          <w:lang w:val="en-IE"/>
        </w:rPr>
        <w:t>, including the place of establishment of the company(</w:t>
      </w:r>
      <w:proofErr w:type="spellStart"/>
      <w:r w:rsidRPr="00727EE1">
        <w:rPr>
          <w:lang w:val="en-IE"/>
        </w:rPr>
        <w:t>ies</w:t>
      </w:r>
      <w:proofErr w:type="spellEnd"/>
      <w:r w:rsidRPr="00727EE1">
        <w:rPr>
          <w:lang w:val="en-IE"/>
        </w:rPr>
        <w:t xml:space="preserve">) owning and/or operating the related systems.  </w:t>
      </w:r>
    </w:p>
    <w:p w:rsidRPr="007D17DD" w:rsidR="00727EE1" w:rsidP="00E817CE" w:rsidRDefault="00727EE1" w14:paraId="1E439FE5" w14:textId="1686FB87">
      <w:pPr>
        <w:ind w:left="-5" w:right="25"/>
        <w:jc w:val="both"/>
        <w:rPr>
          <w:b/>
          <w:bCs/>
          <w:lang w:val="en-IE"/>
        </w:rPr>
      </w:pPr>
      <w:r w:rsidRPr="00727EE1">
        <w:rPr>
          <w:lang w:val="en-IE"/>
        </w:rPr>
        <w:t xml:space="preserve">Attention is drawn to the fact that, in order to be eligible, all the infrastructure, facilities, assets and resources of the entity subject to </w:t>
      </w:r>
      <w:r w:rsidR="00763F43">
        <w:rPr>
          <w:lang w:val="en-IE"/>
        </w:rPr>
        <w:t xml:space="preserve">eligibility and </w:t>
      </w:r>
      <w:r w:rsidRPr="00727EE1">
        <w:rPr>
          <w:lang w:val="en-IE"/>
        </w:rPr>
        <w:t>participation condition</w:t>
      </w:r>
      <w:r w:rsidR="002037B9">
        <w:rPr>
          <w:lang w:val="en-IE"/>
        </w:rPr>
        <w:t>s</w:t>
      </w:r>
      <w:r w:rsidRPr="00727EE1">
        <w:rPr>
          <w:lang w:val="en-IE"/>
        </w:rPr>
        <w:t xml:space="preserve"> needed </w:t>
      </w:r>
      <w:r w:rsidR="00763F43">
        <w:rPr>
          <w:lang w:val="en-IE"/>
        </w:rPr>
        <w:t>for the relevant activities</w:t>
      </w:r>
      <w:r w:rsidRPr="00727EE1">
        <w:rPr>
          <w:lang w:val="en-IE"/>
        </w:rPr>
        <w:t xml:space="preserve"> must be located in one or more Member States (which includes the outermost regions of the Member States) at the moment of submission of the </w:t>
      </w:r>
      <w:r w:rsidR="00763F43">
        <w:rPr>
          <w:lang w:val="en-IE"/>
        </w:rPr>
        <w:t>Request to Participate/Proposal</w:t>
      </w:r>
      <w:r w:rsidRPr="00727EE1">
        <w:rPr>
          <w:lang w:val="en-IE"/>
        </w:rPr>
        <w:t xml:space="preserve"> and throughout the entire duration of the resulting contract</w:t>
      </w:r>
      <w:r w:rsidRPr="007D17DD" w:rsidR="007B10AB">
        <w:rPr>
          <w:b/>
          <w:bCs/>
          <w:lang w:val="en-IE"/>
        </w:rPr>
        <w:t>, unless a waiver has been accepted by the Commission</w:t>
      </w:r>
    </w:p>
    <w:p w:rsidRPr="00727EE1" w:rsidR="00727EE1" w:rsidP="00A10EB0" w:rsidRDefault="00727EE1" w14:paraId="05EA7E84" w14:textId="055846A8">
      <w:pPr>
        <w:ind w:left="-5" w:right="532"/>
        <w:jc w:val="both"/>
        <w:rPr>
          <w:lang w:val="en-IE"/>
        </w:rPr>
      </w:pPr>
    </w:p>
    <w:p w:rsidRPr="00727EE1" w:rsidR="00727EE1" w:rsidP="004947B0" w:rsidRDefault="00727EE1" w14:paraId="10043ECF" w14:textId="269B5720">
      <w:pPr>
        <w:shd w:val="clear" w:color="auto" w:fill="4F81BD"/>
        <w:spacing w:after="69" w:line="267" w:lineRule="auto"/>
        <w:ind w:left="-5"/>
        <w:jc w:val="both"/>
        <w:rPr>
          <w:lang w:val="en-IE"/>
        </w:rPr>
      </w:pPr>
      <w:r w:rsidRPr="00727EE1">
        <w:rPr>
          <w:rFonts w:ascii="Calibri" w:hAnsi="Calibri" w:eastAsia="Calibri" w:cs="Calibri"/>
          <w:b/>
          <w:color w:val="FFFFFF"/>
          <w:lang w:val="en-IE"/>
        </w:rPr>
        <w:t xml:space="preserve">ASSESSEMENT OF CONTROL </w:t>
      </w:r>
    </w:p>
    <w:p w:rsidR="00783C0B" w:rsidP="00783C0B" w:rsidRDefault="00783C0B" w14:paraId="2340E2B8" w14:textId="1CD34F20">
      <w:pPr>
        <w:spacing w:after="112"/>
        <w:ind w:right="17"/>
        <w:jc w:val="both"/>
        <w:rPr>
          <w:lang w:val="en-IE"/>
        </w:rPr>
      </w:pPr>
      <w:r>
        <w:rPr>
          <w:lang w:val="en-IE"/>
        </w:rPr>
        <w:t xml:space="preserve">For activities described in </w:t>
      </w:r>
      <w:r w:rsidR="00A10EB0">
        <w:rPr>
          <w:lang w:val="en-IE"/>
        </w:rPr>
        <w:t>A</w:t>
      </w:r>
      <w:r>
        <w:rPr>
          <w:lang w:val="en-IE"/>
        </w:rPr>
        <w:t xml:space="preserve">nnex </w:t>
      </w:r>
      <w:r w:rsidR="00B57E89">
        <w:rPr>
          <w:lang w:val="en-IE"/>
        </w:rPr>
        <w:t>PC</w:t>
      </w:r>
      <w:r w:rsidRPr="00CC6AE3">
        <w:rPr>
          <w:lang w:val="en-IE"/>
        </w:rPr>
        <w:t xml:space="preserve">, legal entities established in Member States can participate in </w:t>
      </w:r>
      <w:r w:rsidR="002356E0">
        <w:rPr>
          <w:lang w:val="en-IE"/>
        </w:rPr>
        <w:t xml:space="preserve">EUSST </w:t>
      </w:r>
      <w:r w:rsidRPr="00CC6AE3">
        <w:rPr>
          <w:lang w:val="en-IE"/>
        </w:rPr>
        <w:t xml:space="preserve">only if they are directly or indirectly controlled by Member States or by nationals of Member States. </w:t>
      </w:r>
      <w:r>
        <w:rPr>
          <w:lang w:val="en-IE"/>
        </w:rPr>
        <w:t>T</w:t>
      </w:r>
      <w:r w:rsidRPr="00CC6AE3">
        <w:rPr>
          <w:lang w:val="en-IE"/>
        </w:rPr>
        <w:t xml:space="preserve">he ownership control assessment will be conducted to determine control. Furthermore, guarantees may be required if control by a third country, a third country entity or a third country national is confirmed. </w:t>
      </w:r>
    </w:p>
    <w:p w:rsidR="00783C0B" w:rsidP="00783C0B" w:rsidRDefault="00783C0B" w14:paraId="0B467C32" w14:textId="2E5AE793">
      <w:pPr>
        <w:spacing w:after="112"/>
        <w:ind w:right="17"/>
        <w:jc w:val="both"/>
        <w:rPr>
          <w:lang w:val="en-IE"/>
        </w:rPr>
      </w:pPr>
      <w:r w:rsidRPr="725F267F" w:rsidR="00783C0B">
        <w:rPr>
          <w:lang w:val="en-IE"/>
        </w:rPr>
        <w:t xml:space="preserve">The present document is intended to provide </w:t>
      </w:r>
      <w:r w:rsidRPr="725F267F" w:rsidR="00783C0B">
        <w:rPr>
          <w:lang w:val="en-IE"/>
        </w:rPr>
        <w:t xml:space="preserve">information to the </w:t>
      </w:r>
      <w:r w:rsidRPr="725F267F" w:rsidR="002356E0">
        <w:rPr>
          <w:lang w:val="en-IE"/>
        </w:rPr>
        <w:t xml:space="preserve">applicants </w:t>
      </w:r>
      <w:r w:rsidRPr="725F267F" w:rsidR="00783C0B">
        <w:rPr>
          <w:lang w:val="en-IE"/>
        </w:rPr>
        <w:t xml:space="preserve">on how </w:t>
      </w:r>
      <w:r w:rsidRPr="725F267F" w:rsidR="00783C0B">
        <w:rPr>
          <w:lang w:val="en-IE"/>
        </w:rPr>
        <w:t xml:space="preserve">the assessment will be performed. This annex may be used to help </w:t>
      </w:r>
      <w:r w:rsidRPr="725F267F" w:rsidR="002356E0">
        <w:rPr>
          <w:lang w:val="en-IE"/>
        </w:rPr>
        <w:t xml:space="preserve">the </w:t>
      </w:r>
      <w:r w:rsidRPr="725F267F" w:rsidR="00783C0B">
        <w:rPr>
          <w:lang w:val="en-IE"/>
        </w:rPr>
        <w:t>s</w:t>
      </w:r>
      <w:r w:rsidRPr="725F267F" w:rsidR="69F170B7">
        <w:rPr>
          <w:lang w:val="en-IE"/>
        </w:rPr>
        <w:t>ubgrantees</w:t>
      </w:r>
      <w:r w:rsidRPr="725F267F" w:rsidR="00783C0B">
        <w:rPr>
          <w:lang w:val="en-IE"/>
        </w:rPr>
        <w:t xml:space="preserve"> and subcontractor</w:t>
      </w:r>
      <w:r w:rsidRPr="725F267F" w:rsidR="00984E0B">
        <w:rPr>
          <w:lang w:val="en-IE"/>
        </w:rPr>
        <w:t xml:space="preserve"> candid</w:t>
      </w:r>
      <w:r w:rsidRPr="725F267F" w:rsidR="00F94DC0">
        <w:rPr>
          <w:lang w:val="en-IE"/>
        </w:rPr>
        <w:t>at</w:t>
      </w:r>
      <w:r w:rsidRPr="725F267F" w:rsidR="00984E0B">
        <w:rPr>
          <w:lang w:val="en-IE"/>
        </w:rPr>
        <w:t>es</w:t>
      </w:r>
      <w:r w:rsidRPr="725F267F" w:rsidR="00F94DC0">
        <w:rPr>
          <w:lang w:val="en-IE"/>
        </w:rPr>
        <w:t xml:space="preserve"> </w:t>
      </w:r>
      <w:r w:rsidRPr="725F267F" w:rsidR="00783C0B">
        <w:rPr>
          <w:lang w:val="en-IE"/>
        </w:rPr>
        <w:t xml:space="preserve">to run a self-assessment and to </w:t>
      </w:r>
      <w:r w:rsidRPr="725F267F" w:rsidR="00783C0B">
        <w:rPr>
          <w:lang w:val="en-IE"/>
        </w:rPr>
        <w:t>anticipate</w:t>
      </w:r>
      <w:r w:rsidRPr="725F267F" w:rsidR="00783C0B">
        <w:rPr>
          <w:lang w:val="en-IE"/>
        </w:rPr>
        <w:t xml:space="preserve"> their potential control by a third country or by a third-country entity and </w:t>
      </w:r>
      <w:r w:rsidRPr="725F267F" w:rsidR="003C77A4">
        <w:rPr>
          <w:lang w:val="en-IE"/>
        </w:rPr>
        <w:t xml:space="preserve">to provide </w:t>
      </w:r>
      <w:r w:rsidRPr="725F267F" w:rsidR="00783C0B">
        <w:rPr>
          <w:lang w:val="en-IE"/>
        </w:rPr>
        <w:t>the necessary supporting documents.</w:t>
      </w:r>
    </w:p>
    <w:p w:rsidR="00890868" w:rsidP="00783C0B" w:rsidRDefault="00890868" w14:paraId="367E72D2" w14:textId="40477F25">
      <w:pPr>
        <w:spacing w:after="112"/>
        <w:ind w:right="17"/>
        <w:jc w:val="both"/>
        <w:rPr>
          <w:lang w:val="en-IE"/>
        </w:rPr>
      </w:pPr>
    </w:p>
    <w:p w:rsidRPr="00890868" w:rsidR="00890868" w:rsidP="00783C0B" w:rsidRDefault="00890868" w14:paraId="11E57926" w14:textId="472763DD">
      <w:pPr>
        <w:spacing w:after="112"/>
        <w:ind w:right="17"/>
        <w:jc w:val="both"/>
        <w:rPr>
          <w:lang w:val="en-IE"/>
        </w:rPr>
      </w:pPr>
      <w:r w:rsidRPr="725F267F" w:rsidR="00890868">
        <w:rPr>
          <w:lang w:val="en-IE"/>
        </w:rPr>
        <w:t xml:space="preserve">The entities candidates to a </w:t>
      </w:r>
      <w:r w:rsidRPr="725F267F" w:rsidR="19546F88">
        <w:rPr>
          <w:lang w:val="en-IE"/>
        </w:rPr>
        <w:t xml:space="preserve">subgrant or a </w:t>
      </w:r>
      <w:r w:rsidRPr="725F267F" w:rsidR="00890868">
        <w:rPr>
          <w:lang w:val="en-IE"/>
        </w:rPr>
        <w:t xml:space="preserve">subcontract who have successfully submitted the information / documents / supporting evidence requested in the Annex </w:t>
      </w:r>
      <w:r w:rsidRPr="725F267F" w:rsidR="53663307">
        <w:rPr>
          <w:lang w:val="en-IE"/>
        </w:rPr>
        <w:t xml:space="preserve">PC </w:t>
      </w:r>
      <w:r w:rsidRPr="725F267F" w:rsidR="00890868">
        <w:rPr>
          <w:lang w:val="en-IE"/>
        </w:rPr>
        <w:t>in the setting of another procedure of the European Commission or EUSPA (notably in the frame of EU Regulations 2018/1092, 2021/697 or 2021/696), or in the setting of a procedure of ESA (in Galileo, EGNOS, Galileo/EGNOS upstream R&amp;D of Horizon Europe, GOVSATCOM) have no obligation to repeat the exercise, provided the time that has elapsed since the issuing of the information / documents / supporting evidence does not exceed one year at the time of submission of the tender and at the condition that the information provided is still valid at the date of submission</w:t>
      </w:r>
    </w:p>
    <w:p w:rsidRPr="00CC6AE3" w:rsidR="00783C0B" w:rsidP="00783C0B" w:rsidRDefault="00783C0B" w14:paraId="2A174B5A" w14:textId="77777777">
      <w:pPr>
        <w:spacing w:after="6"/>
        <w:ind w:left="-7" w:right="533"/>
        <w:jc w:val="both"/>
        <w:rPr>
          <w:lang w:val="en-IE"/>
        </w:rPr>
      </w:pPr>
    </w:p>
    <w:p w:rsidR="00783C0B" w:rsidP="00783C0B" w:rsidRDefault="00783C0B" w14:paraId="5AB29695" w14:textId="47720611">
      <w:pPr>
        <w:ind w:left="144" w:right="17"/>
        <w:jc w:val="both"/>
        <w:rPr>
          <w:lang w:val="en-IE"/>
        </w:rPr>
      </w:pPr>
      <w:r w:rsidR="00783C0B">
        <w:drawing>
          <wp:inline wp14:editId="0750A8F3" wp14:anchorId="5455E219">
            <wp:extent cx="168275" cy="168275"/>
            <wp:effectExtent l="0" t="0" r="3175" b="3175"/>
            <wp:docPr id="1" name="Picture 1" title=""/>
            <wp:cNvGraphicFramePr>
              <a:graphicFrameLocks noChangeAspect="1"/>
            </wp:cNvGraphicFramePr>
            <a:graphic>
              <a:graphicData uri="http://schemas.openxmlformats.org/drawingml/2006/picture">
                <pic:pic>
                  <pic:nvPicPr>
                    <pic:cNvPr id="0" name="Picture 1"/>
                    <pic:cNvPicPr/>
                  </pic:nvPicPr>
                  <pic:blipFill>
                    <a:blip r:embed="Rf5a7b3eaabcf448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68275" cy="168275"/>
                    </a:xfrm>
                    <a:prstGeom prst="rect">
                      <a:avLst/>
                    </a:prstGeom>
                  </pic:spPr>
                </pic:pic>
              </a:graphicData>
            </a:graphic>
          </wp:inline>
        </w:drawing>
      </w:r>
      <w:r w:rsidRPr="725F267F" w:rsidR="00783C0B">
        <w:rPr>
          <w:lang w:val="en-IE"/>
        </w:rPr>
        <w:t xml:space="preserve"> Please be aware that eligibility conditions must be fulfilled not only at signature</w:t>
      </w:r>
      <w:r w:rsidRPr="725F267F" w:rsidR="003C77A4">
        <w:rPr>
          <w:lang w:val="en-IE"/>
        </w:rPr>
        <w:t xml:space="preserve"> of </w:t>
      </w:r>
      <w:r w:rsidRPr="725F267F" w:rsidR="2E78BA2B">
        <w:rPr>
          <w:lang w:val="en-IE"/>
        </w:rPr>
        <w:t>the subgrant</w:t>
      </w:r>
      <w:r w:rsidRPr="725F267F" w:rsidR="003C77A4">
        <w:rPr>
          <w:lang w:val="en-IE"/>
        </w:rPr>
        <w:t xml:space="preserve"> Contract</w:t>
      </w:r>
      <w:r w:rsidRPr="725F267F" w:rsidR="00783C0B">
        <w:rPr>
          <w:lang w:val="en-IE"/>
        </w:rPr>
        <w:t>, but throughout the entire duration</w:t>
      </w:r>
      <w:r w:rsidRPr="725F267F" w:rsidR="003C77A4">
        <w:rPr>
          <w:lang w:val="en-IE"/>
        </w:rPr>
        <w:t xml:space="preserve"> of the C</w:t>
      </w:r>
      <w:r w:rsidRPr="725F267F" w:rsidR="003C77A4">
        <w:rPr>
          <w:lang w:val="en-IE"/>
        </w:rPr>
        <w:t>ontract execution</w:t>
      </w:r>
      <w:r w:rsidRPr="725F267F" w:rsidR="00783C0B">
        <w:rPr>
          <w:lang w:val="en-IE"/>
        </w:rPr>
        <w:t>. Any changes in the control ownership status that occur during the project must be immediately notified to the</w:t>
      </w:r>
      <w:r w:rsidRPr="725F267F" w:rsidR="003C77A4">
        <w:rPr>
          <w:lang w:val="en-IE"/>
        </w:rPr>
        <w:t xml:space="preserve"> contracting</w:t>
      </w:r>
      <w:r w:rsidRPr="725F267F" w:rsidR="00783C0B">
        <w:rPr>
          <w:lang w:val="en-IE"/>
        </w:rPr>
        <w:t xml:space="preserve"> authority. </w:t>
      </w:r>
    </w:p>
    <w:p w:rsidRPr="00CC6AE3" w:rsidR="00783C0B" w:rsidP="00783C0B" w:rsidRDefault="00783C0B" w14:paraId="1047B8A2" w14:textId="77777777">
      <w:pPr>
        <w:ind w:left="144" w:right="17"/>
        <w:jc w:val="both"/>
        <w:rPr>
          <w:lang w:val="en-IE"/>
        </w:rPr>
      </w:pPr>
    </w:p>
    <w:p w:rsidR="00783C0B" w:rsidP="00783C0B" w:rsidRDefault="00783C0B" w14:paraId="2A82E4E9" w14:textId="77CB7CD6">
      <w:pPr>
        <w:pStyle w:val="Heading1"/>
        <w:spacing w:after="189" w:line="251" w:lineRule="auto"/>
        <w:ind w:left="415" w:hanging="281"/>
        <w:jc w:val="both"/>
      </w:pPr>
      <w:bookmarkStart w:name="_Toc128559538" w:id="1"/>
      <w:r>
        <w:rPr>
          <w:b/>
        </w:rPr>
        <w:lastRenderedPageBreak/>
        <w:t xml:space="preserve">When will an entity </w:t>
      </w:r>
      <w:proofErr w:type="gramStart"/>
      <w:r>
        <w:rPr>
          <w:b/>
        </w:rPr>
        <w:t>be considered to be</w:t>
      </w:r>
      <w:proofErr w:type="gramEnd"/>
      <w:r>
        <w:rPr>
          <w:b/>
        </w:rPr>
        <w:t xml:space="preserve"> </w:t>
      </w:r>
      <w:r w:rsidR="003C77A4">
        <w:rPr>
          <w:b/>
        </w:rPr>
        <w:t xml:space="preserve">non-EU </w:t>
      </w:r>
      <w:r>
        <w:rPr>
          <w:b/>
        </w:rPr>
        <w:t>controlled?</w:t>
      </w:r>
      <w:bookmarkEnd w:id="1"/>
      <w:r>
        <w:rPr>
          <w:b/>
        </w:rPr>
        <w:t xml:space="preserve"> </w:t>
      </w:r>
    </w:p>
    <w:p w:rsidR="00783C0B" w:rsidP="00783C0B" w:rsidRDefault="00783C0B" w14:paraId="7A94921D" w14:textId="77777777">
      <w:pPr>
        <w:ind w:left="144" w:right="17"/>
        <w:jc w:val="both"/>
        <w:rPr>
          <w:lang w:val="en-IE"/>
        </w:rPr>
      </w:pPr>
      <w:r w:rsidRPr="00CC6AE3">
        <w:rPr>
          <w:lang w:val="en-IE"/>
        </w:rPr>
        <w:t xml:space="preserve">‘Control’ will be defined as the possibility to exercise decisive influence on the participant, directly or indirectly, through one or more intermediate entities, </w:t>
      </w:r>
      <w:proofErr w:type="spellStart"/>
      <w:r w:rsidRPr="00CC6AE3">
        <w:rPr>
          <w:lang w:val="en-IE"/>
        </w:rPr>
        <w:t>‘</w:t>
      </w:r>
      <w:r w:rsidRPr="00CC6AE3">
        <w:rPr>
          <w:rFonts w:ascii="Verdana" w:hAnsi="Verdana" w:eastAsia="Verdana" w:cs="Verdana"/>
          <w:i/>
          <w:lang w:val="en-IE"/>
        </w:rPr>
        <w:t>de</w:t>
      </w:r>
      <w:proofErr w:type="spellEnd"/>
      <w:r w:rsidRPr="00CC6AE3">
        <w:rPr>
          <w:rFonts w:ascii="Verdana" w:hAnsi="Verdana" w:eastAsia="Verdana" w:cs="Verdana"/>
          <w:i/>
          <w:lang w:val="en-IE"/>
        </w:rPr>
        <w:t xml:space="preserve"> jure</w:t>
      </w:r>
      <w:r w:rsidRPr="00CC6AE3">
        <w:rPr>
          <w:lang w:val="en-IE"/>
        </w:rPr>
        <w:t xml:space="preserve">’ or </w:t>
      </w:r>
      <w:proofErr w:type="spellStart"/>
      <w:r w:rsidRPr="00CC6AE3">
        <w:rPr>
          <w:lang w:val="en-IE"/>
        </w:rPr>
        <w:t>‘</w:t>
      </w:r>
      <w:r w:rsidRPr="00CC6AE3">
        <w:rPr>
          <w:rFonts w:ascii="Verdana" w:hAnsi="Verdana" w:eastAsia="Verdana" w:cs="Verdana"/>
          <w:i/>
          <w:lang w:val="en-IE"/>
        </w:rPr>
        <w:t>de</w:t>
      </w:r>
      <w:proofErr w:type="spellEnd"/>
      <w:r w:rsidRPr="00CC6AE3">
        <w:rPr>
          <w:rFonts w:ascii="Verdana" w:hAnsi="Verdana" w:eastAsia="Verdana" w:cs="Verdana"/>
          <w:i/>
          <w:lang w:val="en-IE"/>
        </w:rPr>
        <w:t xml:space="preserve"> facto</w:t>
      </w:r>
      <w:r w:rsidRPr="00CC6AE3">
        <w:rPr>
          <w:lang w:val="en-IE"/>
        </w:rPr>
        <w:t xml:space="preserve">’. The fact that no influence is </w:t>
      </w:r>
      <w:proofErr w:type="gramStart"/>
      <w:r w:rsidRPr="00CC6AE3">
        <w:rPr>
          <w:lang w:val="en-IE"/>
        </w:rPr>
        <w:t>actually exercised</w:t>
      </w:r>
      <w:proofErr w:type="gramEnd"/>
      <w:r w:rsidRPr="00CC6AE3">
        <w:rPr>
          <w:lang w:val="en-IE"/>
        </w:rPr>
        <w:t xml:space="preserve"> is not relevant, as long as the possibility exists. </w:t>
      </w:r>
    </w:p>
    <w:p w:rsidR="00783C0B" w:rsidP="00783C0B" w:rsidRDefault="00783C0B" w14:paraId="30B649B6" w14:textId="1F7A6027">
      <w:pPr>
        <w:ind w:left="144" w:right="17"/>
        <w:jc w:val="both"/>
        <w:rPr>
          <w:lang w:val="en-IE"/>
        </w:rPr>
      </w:pPr>
      <w:r w:rsidRPr="00CC6AE3">
        <w:rPr>
          <w:lang w:val="en-IE"/>
        </w:rPr>
        <w:t>Public bodies</w:t>
      </w:r>
      <w:r>
        <w:rPr>
          <w:rStyle w:val="FootnoteReference"/>
          <w:lang w:val="en-IE"/>
        </w:rPr>
        <w:footnoteReference w:id="2"/>
      </w:r>
      <w:r w:rsidRPr="00CC6AE3">
        <w:rPr>
          <w:lang w:val="en-IE"/>
        </w:rPr>
        <w:t xml:space="preserve"> </w:t>
      </w:r>
      <w:r>
        <w:rPr>
          <w:lang w:val="en-IE"/>
        </w:rPr>
        <w:t xml:space="preserve">will be </w:t>
      </w:r>
      <w:r w:rsidRPr="00CC6AE3">
        <w:rPr>
          <w:lang w:val="en-IE"/>
        </w:rPr>
        <w:t>automatically considered as controlled by their country</w:t>
      </w:r>
      <w:r w:rsidR="003C77A4">
        <w:rPr>
          <w:lang w:val="en-IE"/>
        </w:rPr>
        <w:t xml:space="preserve"> of establishment</w:t>
      </w:r>
      <w:r w:rsidRPr="00CC6AE3">
        <w:rPr>
          <w:lang w:val="en-IE"/>
        </w:rPr>
        <w:t>.</w:t>
      </w:r>
    </w:p>
    <w:p w:rsidRPr="00CC6AE3" w:rsidR="00783C0B" w:rsidP="00783C0B" w:rsidRDefault="00783C0B" w14:paraId="5C36A99A" w14:textId="01FDD155">
      <w:pPr>
        <w:ind w:left="144" w:right="17"/>
        <w:jc w:val="both"/>
        <w:rPr>
          <w:lang w:val="en-IE"/>
        </w:rPr>
      </w:pPr>
      <w:r>
        <w:rPr>
          <w:lang w:val="en-IE"/>
        </w:rPr>
        <w:t>Any other</w:t>
      </w:r>
      <w:r w:rsidRPr="00CC6AE3">
        <w:rPr>
          <w:lang w:val="en-IE"/>
        </w:rPr>
        <w:t xml:space="preserve"> participant will </w:t>
      </w:r>
      <w:proofErr w:type="gramStart"/>
      <w:r w:rsidRPr="00CC6AE3">
        <w:rPr>
          <w:lang w:val="en-IE"/>
        </w:rPr>
        <w:t>be considered to be</w:t>
      </w:r>
      <w:proofErr w:type="gramEnd"/>
      <w:r w:rsidRPr="00CC6AE3">
        <w:rPr>
          <w:lang w:val="en-IE"/>
        </w:rPr>
        <w:t xml:space="preserve"> ‘</w:t>
      </w:r>
      <w:r w:rsidR="003C77A4">
        <w:rPr>
          <w:lang w:val="en-IE"/>
        </w:rPr>
        <w:t xml:space="preserve">non-EU </w:t>
      </w:r>
      <w:r w:rsidRPr="00CC6AE3">
        <w:rPr>
          <w:lang w:val="en-IE"/>
        </w:rPr>
        <w:t xml:space="preserve">controlled’ when a third country, third country entity or third country national has the possibility to exercise decisive influence on the entity concerned, notably in relation to its strategic business decisions </w:t>
      </w:r>
      <w:r w:rsidRPr="00934F5D">
        <w:rPr>
          <w:lang w:val="en-IE"/>
        </w:rPr>
        <w:t>(such as appointment and removal of senior management, budget, investment business plans, market-specific decisions, etc)</w:t>
      </w:r>
      <w:r w:rsidRPr="00CC6AE3">
        <w:rPr>
          <w:lang w:val="en-IE"/>
        </w:rPr>
        <w:t xml:space="preserve">. </w:t>
      </w:r>
    </w:p>
    <w:p w:rsidRPr="00CC6AE3" w:rsidR="00783C0B" w:rsidP="00783C0B" w:rsidRDefault="00783C0B" w14:paraId="381554A9" w14:textId="18C5FEE7">
      <w:pPr>
        <w:ind w:left="144" w:right="17"/>
        <w:jc w:val="both"/>
        <w:rPr>
          <w:lang w:val="en-IE"/>
        </w:rPr>
      </w:pPr>
      <w:r w:rsidRPr="00CC6AE3">
        <w:rPr>
          <w:lang w:val="en-IE"/>
        </w:rPr>
        <w:t xml:space="preserve">No guidance can anticipate upon all possible constellations of control of an </w:t>
      </w:r>
      <w:r w:rsidRPr="00CC6AE3" w:rsidR="00F94DC0">
        <w:rPr>
          <w:lang w:val="en-IE"/>
        </w:rPr>
        <w:t>entity;</w:t>
      </w:r>
      <w:r w:rsidRPr="00CC6AE3">
        <w:rPr>
          <w:lang w:val="en-IE"/>
        </w:rPr>
        <w:t xml:space="preserve"> hence, any assessment </w:t>
      </w:r>
      <w:proofErr w:type="gramStart"/>
      <w:r w:rsidRPr="00CC6AE3">
        <w:rPr>
          <w:lang w:val="en-IE"/>
        </w:rPr>
        <w:t>has to</w:t>
      </w:r>
      <w:proofErr w:type="gramEnd"/>
      <w:r w:rsidRPr="00CC6AE3">
        <w:rPr>
          <w:lang w:val="en-IE"/>
        </w:rPr>
        <w:t xml:space="preserve"> be done on a case-by-case basis, looking at the legal and factual position in each individual case. </w:t>
      </w:r>
      <w:proofErr w:type="gramStart"/>
      <w:r w:rsidRPr="00CC6AE3">
        <w:rPr>
          <w:lang w:val="en-IE"/>
        </w:rPr>
        <w:t xml:space="preserve">As a </w:t>
      </w:r>
      <w:r w:rsidRPr="00CC6AE3" w:rsidR="00F94DC0">
        <w:rPr>
          <w:lang w:val="en-IE"/>
        </w:rPr>
        <w:t>consequence</w:t>
      </w:r>
      <w:proofErr w:type="gramEnd"/>
      <w:r w:rsidRPr="00CC6AE3" w:rsidR="00F94DC0">
        <w:rPr>
          <w:lang w:val="en-IE"/>
        </w:rPr>
        <w:t>,</w:t>
      </w:r>
      <w:r w:rsidRPr="00CC6AE3">
        <w:rPr>
          <w:lang w:val="en-IE"/>
        </w:rPr>
        <w:t xml:space="preserve"> this document provides only some general considerations for that assessment. </w:t>
      </w:r>
    </w:p>
    <w:p w:rsidRPr="00CC6AE3" w:rsidR="00783C0B" w:rsidP="00783C0B" w:rsidRDefault="00783C0B" w14:paraId="255D9776" w14:textId="77777777">
      <w:pPr>
        <w:ind w:left="144" w:right="17"/>
        <w:jc w:val="both"/>
        <w:rPr>
          <w:lang w:val="en-IE"/>
        </w:rPr>
      </w:pPr>
      <w:r w:rsidRPr="00CC6AE3">
        <w:rPr>
          <w:lang w:val="en-IE"/>
        </w:rPr>
        <w:t xml:space="preserve">Control will be assessed at the level of the ultimate ownership and control line and all intermediate layers (in case of indirect control).  </w:t>
      </w:r>
    </w:p>
    <w:p w:rsidRPr="00CC6AE3" w:rsidR="00783C0B" w:rsidP="00783C0B" w:rsidRDefault="00783C0B" w14:paraId="128848F6" w14:textId="77777777">
      <w:pPr>
        <w:spacing w:after="218"/>
        <w:ind w:left="144" w:right="17"/>
        <w:jc w:val="both"/>
        <w:rPr>
          <w:lang w:val="en-IE"/>
        </w:rPr>
      </w:pPr>
      <w:r w:rsidRPr="00CC6AE3">
        <w:rPr>
          <w:lang w:val="en-IE"/>
        </w:rPr>
        <w:t>The following elements will</w:t>
      </w:r>
      <w:proofErr w:type="gramStart"/>
      <w:r w:rsidRPr="00CC6AE3">
        <w:rPr>
          <w:lang w:val="en-IE"/>
        </w:rPr>
        <w:t>, in particular, be</w:t>
      </w:r>
      <w:proofErr w:type="gramEnd"/>
      <w:r w:rsidRPr="00CC6AE3">
        <w:rPr>
          <w:lang w:val="en-IE"/>
        </w:rPr>
        <w:t xml:space="preserve"> taken into account: </w:t>
      </w:r>
    </w:p>
    <w:p w:rsidRPr="00CC6AE3" w:rsidR="00783C0B" w:rsidP="00A02558" w:rsidRDefault="00783C0B" w14:paraId="1163B699" w14:textId="77777777">
      <w:pPr>
        <w:numPr>
          <w:ilvl w:val="0"/>
          <w:numId w:val="16"/>
        </w:numPr>
        <w:spacing w:after="192" w:line="250" w:lineRule="auto"/>
        <w:ind w:right="17" w:hanging="360"/>
        <w:jc w:val="both"/>
        <w:rPr>
          <w:lang w:val="en-IE"/>
        </w:rPr>
      </w:pPr>
      <w:r w:rsidRPr="00CC6AE3">
        <w:rPr>
          <w:lang w:val="en-IE"/>
        </w:rPr>
        <w:t xml:space="preserve">ownership structure and specific </w:t>
      </w:r>
      <w:proofErr w:type="gramStart"/>
      <w:r w:rsidRPr="00CC6AE3">
        <w:rPr>
          <w:lang w:val="en-IE"/>
        </w:rPr>
        <w:t>rights;</w:t>
      </w:r>
      <w:proofErr w:type="gramEnd"/>
      <w:r w:rsidRPr="00CC6AE3">
        <w:rPr>
          <w:lang w:val="en-IE"/>
        </w:rPr>
        <w:t xml:space="preserve"> </w:t>
      </w:r>
    </w:p>
    <w:p w:rsidR="00783C0B" w:rsidP="00A02558" w:rsidRDefault="00783C0B" w14:paraId="3960CC05" w14:textId="77777777">
      <w:pPr>
        <w:numPr>
          <w:ilvl w:val="0"/>
          <w:numId w:val="16"/>
        </w:numPr>
        <w:spacing w:after="192" w:line="250" w:lineRule="auto"/>
        <w:ind w:right="17" w:hanging="360"/>
        <w:jc w:val="both"/>
      </w:pPr>
      <w:proofErr w:type="spellStart"/>
      <w:proofErr w:type="gramStart"/>
      <w:r>
        <w:t>corporate</w:t>
      </w:r>
      <w:proofErr w:type="spellEnd"/>
      <w:proofErr w:type="gramEnd"/>
      <w:r>
        <w:t xml:space="preserve"> </w:t>
      </w:r>
      <w:proofErr w:type="spellStart"/>
      <w:r>
        <w:t>governance</w:t>
      </w:r>
      <w:proofErr w:type="spellEnd"/>
      <w:r>
        <w:t xml:space="preserve">;  </w:t>
      </w:r>
    </w:p>
    <w:p w:rsidR="00783C0B" w:rsidP="00A02558" w:rsidRDefault="00783C0B" w14:paraId="517FBDBF" w14:textId="77777777">
      <w:pPr>
        <w:numPr>
          <w:ilvl w:val="0"/>
          <w:numId w:val="16"/>
        </w:numPr>
        <w:spacing w:after="192" w:line="250" w:lineRule="auto"/>
        <w:ind w:right="17" w:hanging="360"/>
        <w:jc w:val="both"/>
      </w:pPr>
      <w:proofErr w:type="gramStart"/>
      <w:r>
        <w:t>commercial</w:t>
      </w:r>
      <w:proofErr w:type="gramEnd"/>
      <w:r>
        <w:t xml:space="preserve"> links </w:t>
      </w:r>
      <w:proofErr w:type="spellStart"/>
      <w:r>
        <w:t>conferring</w:t>
      </w:r>
      <w:proofErr w:type="spellEnd"/>
      <w:r>
        <w:t xml:space="preserve"> control;  </w:t>
      </w:r>
    </w:p>
    <w:p w:rsidR="00783C0B" w:rsidP="00A02558" w:rsidRDefault="00783C0B" w14:paraId="2C9F31BD" w14:textId="77777777">
      <w:pPr>
        <w:numPr>
          <w:ilvl w:val="0"/>
          <w:numId w:val="16"/>
        </w:numPr>
        <w:spacing w:after="0" w:line="427" w:lineRule="auto"/>
        <w:ind w:right="17" w:hanging="360"/>
        <w:jc w:val="both"/>
        <w:rPr>
          <w:lang w:val="en-IE"/>
        </w:rPr>
      </w:pPr>
      <w:r w:rsidRPr="00CC6AE3">
        <w:rPr>
          <w:lang w:val="en-IE"/>
        </w:rPr>
        <w:t xml:space="preserve">financial links conferring </w:t>
      </w:r>
      <w:proofErr w:type="gramStart"/>
      <w:r w:rsidRPr="00CC6AE3">
        <w:rPr>
          <w:lang w:val="en-IE"/>
        </w:rPr>
        <w:t>control;</w:t>
      </w:r>
      <w:proofErr w:type="gramEnd"/>
    </w:p>
    <w:p w:rsidRPr="00CC6AE3" w:rsidR="00783C0B" w:rsidP="00A02558" w:rsidRDefault="00783C0B" w14:paraId="7243E1F8" w14:textId="77777777">
      <w:pPr>
        <w:numPr>
          <w:ilvl w:val="0"/>
          <w:numId w:val="16"/>
        </w:numPr>
        <w:spacing w:after="0" w:line="427" w:lineRule="auto"/>
        <w:ind w:right="17" w:hanging="360"/>
        <w:jc w:val="both"/>
        <w:rPr>
          <w:lang w:val="en-IE"/>
        </w:rPr>
      </w:pPr>
      <w:r w:rsidRPr="00CC6AE3">
        <w:rPr>
          <w:lang w:val="en-IE"/>
        </w:rPr>
        <w:t xml:space="preserve">other sources of control. </w:t>
      </w:r>
    </w:p>
    <w:p w:rsidR="00783C0B" w:rsidP="00783C0B" w:rsidRDefault="00783C0B" w14:paraId="208910B5" w14:textId="77777777">
      <w:pPr>
        <w:pStyle w:val="Heading2"/>
        <w:ind w:left="144" w:right="14"/>
      </w:pPr>
      <w:r>
        <w:t xml:space="preserve">Ownership structure and specific rights   </w:t>
      </w:r>
    </w:p>
    <w:p w:rsidRPr="00CC6AE3" w:rsidR="00783C0B" w:rsidP="00783C0B" w:rsidRDefault="00783C0B" w14:paraId="4552BB6E" w14:textId="77777777">
      <w:pPr>
        <w:spacing w:after="293"/>
        <w:ind w:left="144" w:right="17"/>
        <w:jc w:val="both"/>
        <w:rPr>
          <w:lang w:val="en-IE"/>
        </w:rPr>
      </w:pPr>
      <w:r w:rsidRPr="00CC6AE3">
        <w:rPr>
          <w:lang w:val="en-IE"/>
        </w:rPr>
        <w:t xml:space="preserve">The ownership structure will be analysed to establish which countries, entities or natural persons have decisive influence on the participant, notably </w:t>
      </w:r>
      <w:proofErr w:type="gramStart"/>
      <w:r w:rsidRPr="00CC6AE3">
        <w:rPr>
          <w:lang w:val="en-IE"/>
        </w:rPr>
        <w:t>with regard to</w:t>
      </w:r>
      <w:proofErr w:type="gramEnd"/>
      <w:r w:rsidRPr="00CC6AE3">
        <w:rPr>
          <w:lang w:val="en-IE"/>
        </w:rPr>
        <w:t xml:space="preserve"> the strategic business decisions: </w:t>
      </w:r>
    </w:p>
    <w:p w:rsidRPr="003C77A4" w:rsidR="00783C0B" w:rsidP="00A02558" w:rsidRDefault="00783C0B" w14:paraId="11ED5656" w14:textId="77777777">
      <w:pPr>
        <w:pStyle w:val="ListParagraph"/>
        <w:numPr>
          <w:ilvl w:val="0"/>
          <w:numId w:val="19"/>
        </w:numPr>
        <w:spacing w:after="295" w:line="250" w:lineRule="auto"/>
        <w:ind w:right="17"/>
        <w:jc w:val="both"/>
        <w:rPr>
          <w:lang w:val="en-IE"/>
        </w:rPr>
      </w:pPr>
      <w:r w:rsidRPr="003C77A4">
        <w:rPr>
          <w:lang w:val="en-IE"/>
        </w:rPr>
        <w:t xml:space="preserve">if the participant is directly owned and controlled by natural persons, the nationality of these natural persons will be the key element of assessment, i.e.: </w:t>
      </w:r>
    </w:p>
    <w:p w:rsidRPr="003C77A4" w:rsidR="00783C0B" w:rsidP="00A02558" w:rsidRDefault="00783C0B" w14:paraId="5915DFE2" w14:textId="512D0C45">
      <w:pPr>
        <w:pStyle w:val="ListParagraph"/>
        <w:numPr>
          <w:ilvl w:val="0"/>
          <w:numId w:val="20"/>
        </w:numPr>
        <w:spacing w:after="292" w:line="250" w:lineRule="auto"/>
        <w:ind w:right="17"/>
        <w:jc w:val="both"/>
        <w:rPr>
          <w:lang w:val="en-IE"/>
        </w:rPr>
      </w:pPr>
      <w:r w:rsidRPr="003C77A4">
        <w:rPr>
          <w:lang w:val="en-IE"/>
        </w:rPr>
        <w:t xml:space="preserve">if all the owners are nationals of Member States and there are no commercial or other links that could confer control on other persons or entities, further assessment may not be necessary,  </w:t>
      </w:r>
    </w:p>
    <w:p w:rsidRPr="003C77A4" w:rsidR="00783C0B" w:rsidP="00A02558" w:rsidRDefault="00783C0B" w14:paraId="373AB53F" w14:textId="483CA170">
      <w:pPr>
        <w:pStyle w:val="ListParagraph"/>
        <w:numPr>
          <w:ilvl w:val="0"/>
          <w:numId w:val="20"/>
        </w:numPr>
        <w:spacing w:after="293" w:line="250" w:lineRule="auto"/>
        <w:ind w:right="17"/>
        <w:jc w:val="both"/>
        <w:rPr>
          <w:lang w:val="en-IE"/>
        </w:rPr>
      </w:pPr>
      <w:r w:rsidRPr="003C77A4">
        <w:rPr>
          <w:lang w:val="en-IE"/>
        </w:rPr>
        <w:t xml:space="preserve">if some of the owners are individuals with third country nationality, their ability to exercise control </w:t>
      </w:r>
      <w:proofErr w:type="gramStart"/>
      <w:r w:rsidRPr="003C77A4">
        <w:rPr>
          <w:lang w:val="en-IE"/>
        </w:rPr>
        <w:t>has to</w:t>
      </w:r>
      <w:proofErr w:type="gramEnd"/>
      <w:r w:rsidRPr="003C77A4">
        <w:rPr>
          <w:lang w:val="en-IE"/>
        </w:rPr>
        <w:t xml:space="preserve"> be further assessed. </w:t>
      </w:r>
    </w:p>
    <w:p w:rsidRPr="00CC6AE3" w:rsidR="00783C0B" w:rsidP="00A02558" w:rsidRDefault="00783C0B" w14:paraId="62480B0D" w14:textId="77777777">
      <w:pPr>
        <w:pStyle w:val="ListParagraph"/>
        <w:numPr>
          <w:ilvl w:val="0"/>
          <w:numId w:val="19"/>
        </w:numPr>
        <w:spacing w:after="295" w:line="250" w:lineRule="auto"/>
        <w:ind w:right="17"/>
        <w:jc w:val="both"/>
        <w:rPr>
          <w:lang w:val="en-IE"/>
        </w:rPr>
      </w:pPr>
      <w:r w:rsidRPr="00CC6AE3">
        <w:rPr>
          <w:lang w:val="en-IE"/>
        </w:rPr>
        <w:t xml:space="preserve">if several ownership and control layers exist between the participant and its ultimate owners (persons who effectively control it):  </w:t>
      </w:r>
    </w:p>
    <w:p w:rsidRPr="00CC6AE3" w:rsidR="00783C0B" w:rsidP="00A02558" w:rsidRDefault="00783C0B" w14:paraId="00DCD169" w14:textId="71DBCD12">
      <w:pPr>
        <w:pStyle w:val="ListParagraph"/>
        <w:numPr>
          <w:ilvl w:val="0"/>
          <w:numId w:val="20"/>
        </w:numPr>
        <w:spacing w:after="292" w:line="250" w:lineRule="auto"/>
        <w:ind w:right="17"/>
        <w:jc w:val="both"/>
        <w:rPr>
          <w:lang w:val="en-IE"/>
        </w:rPr>
      </w:pPr>
      <w:r w:rsidRPr="00CC6AE3">
        <w:rPr>
          <w:lang w:val="en-IE"/>
        </w:rPr>
        <w:t xml:space="preserve">ownership and control will be identified at each layer, and at each layer the existence of controlling </w:t>
      </w:r>
      <w:r w:rsidR="008713A9">
        <w:rPr>
          <w:lang w:val="en-IE"/>
        </w:rPr>
        <w:t>third</w:t>
      </w:r>
      <w:r w:rsidRPr="00CC6AE3">
        <w:rPr>
          <w:lang w:val="en-IE"/>
        </w:rPr>
        <w:t xml:space="preserve"> country nationals/</w:t>
      </w:r>
      <w:r w:rsidR="008713A9">
        <w:rPr>
          <w:lang w:val="en-IE"/>
        </w:rPr>
        <w:t>third</w:t>
      </w:r>
      <w:r w:rsidRPr="00CC6AE3">
        <w:rPr>
          <w:lang w:val="en-IE"/>
        </w:rPr>
        <w:t xml:space="preserve"> country entities </w:t>
      </w:r>
      <w:proofErr w:type="gramStart"/>
      <w:r w:rsidRPr="00CC6AE3">
        <w:rPr>
          <w:lang w:val="en-IE"/>
        </w:rPr>
        <w:t>has to</w:t>
      </w:r>
      <w:proofErr w:type="gramEnd"/>
      <w:r w:rsidRPr="00CC6AE3">
        <w:rPr>
          <w:lang w:val="en-IE"/>
        </w:rPr>
        <w:t xml:space="preserve"> be assessed,  </w:t>
      </w:r>
    </w:p>
    <w:p w:rsidRPr="00CC6AE3" w:rsidR="00783C0B" w:rsidP="00A02558" w:rsidRDefault="00783C0B" w14:paraId="325A5AE6" w14:textId="7ED09FEF">
      <w:pPr>
        <w:pStyle w:val="ListParagraph"/>
        <w:numPr>
          <w:ilvl w:val="0"/>
          <w:numId w:val="20"/>
        </w:numPr>
        <w:spacing w:after="292" w:line="250" w:lineRule="auto"/>
        <w:ind w:right="17"/>
        <w:jc w:val="both"/>
        <w:rPr>
          <w:lang w:val="en-IE"/>
        </w:rPr>
      </w:pPr>
      <w:r w:rsidRPr="00CC6AE3">
        <w:rPr>
          <w:lang w:val="en-IE"/>
        </w:rPr>
        <w:lastRenderedPageBreak/>
        <w:t xml:space="preserve">participants will be asked to demonstrate to the extent possible that, all along the chain of control until the ultimate owners, there is no control by </w:t>
      </w:r>
      <w:r w:rsidRPr="00CC6AE3" w:rsidR="00F94DC0">
        <w:rPr>
          <w:lang w:val="en-IE"/>
        </w:rPr>
        <w:t>a</w:t>
      </w:r>
      <w:r w:rsidRPr="00CC6AE3">
        <w:rPr>
          <w:lang w:val="en-IE"/>
        </w:rPr>
        <w:t xml:space="preserve"> </w:t>
      </w:r>
      <w:r w:rsidR="008713A9">
        <w:rPr>
          <w:lang w:val="en-IE"/>
        </w:rPr>
        <w:t>third</w:t>
      </w:r>
      <w:r w:rsidRPr="00CC6AE3">
        <w:rPr>
          <w:lang w:val="en-IE"/>
        </w:rPr>
        <w:t xml:space="preserve"> country/</w:t>
      </w:r>
      <w:r w:rsidR="008713A9">
        <w:rPr>
          <w:lang w:val="en-IE"/>
        </w:rPr>
        <w:t>third</w:t>
      </w:r>
      <w:r w:rsidRPr="00CC6AE3">
        <w:rPr>
          <w:lang w:val="en-IE"/>
        </w:rPr>
        <w:t xml:space="preserve"> country entity, </w:t>
      </w:r>
    </w:p>
    <w:p w:rsidRPr="00CC6AE3" w:rsidR="00783C0B" w:rsidP="00A02558" w:rsidRDefault="00783C0B" w14:paraId="4F5DF469" w14:textId="600E23E4">
      <w:pPr>
        <w:pStyle w:val="ListParagraph"/>
        <w:numPr>
          <w:ilvl w:val="0"/>
          <w:numId w:val="20"/>
        </w:numPr>
        <w:spacing w:after="292" w:line="250" w:lineRule="auto"/>
        <w:ind w:right="17"/>
        <w:jc w:val="both"/>
        <w:rPr>
          <w:lang w:val="en-IE"/>
        </w:rPr>
      </w:pPr>
      <w:r w:rsidRPr="00CC6AE3">
        <w:rPr>
          <w:lang w:val="en-IE"/>
        </w:rPr>
        <w:t xml:space="preserve">if shareholding is widely spread, and one or several </w:t>
      </w:r>
      <w:r w:rsidR="008713A9">
        <w:rPr>
          <w:lang w:val="en-IE"/>
        </w:rPr>
        <w:t>third</w:t>
      </w:r>
      <w:r w:rsidRPr="00CC6AE3">
        <w:rPr>
          <w:lang w:val="en-IE"/>
        </w:rPr>
        <w:t xml:space="preserve"> country shareholders are the largest shareholders (even if their participating interest may look insignificant), a detailed control assessment may have to be conducted, </w:t>
      </w:r>
    </w:p>
    <w:p w:rsidRPr="00CC6AE3" w:rsidR="00783C0B" w:rsidP="00A02558" w:rsidRDefault="00783C0B" w14:paraId="627630BA" w14:textId="156BA44B">
      <w:pPr>
        <w:pStyle w:val="ListParagraph"/>
        <w:numPr>
          <w:ilvl w:val="0"/>
          <w:numId w:val="20"/>
        </w:numPr>
        <w:spacing w:after="292" w:line="250" w:lineRule="auto"/>
        <w:ind w:right="17"/>
        <w:jc w:val="both"/>
        <w:rPr>
          <w:lang w:val="en-IE"/>
        </w:rPr>
      </w:pPr>
      <w:r w:rsidRPr="00CC6AE3">
        <w:rPr>
          <w:lang w:val="en-IE"/>
        </w:rPr>
        <w:t xml:space="preserve">ultimate owners with 5% (or more) of the shares/voting rights must be identified (upon request even shareholders with less than 5%). </w:t>
      </w:r>
    </w:p>
    <w:p w:rsidRPr="00CC6AE3" w:rsidR="00783C0B" w:rsidP="00A02558" w:rsidRDefault="00783C0B" w14:paraId="6B384A27" w14:textId="77777777">
      <w:pPr>
        <w:pStyle w:val="ListParagraph"/>
        <w:numPr>
          <w:ilvl w:val="0"/>
          <w:numId w:val="19"/>
        </w:numPr>
        <w:spacing w:after="295" w:line="250" w:lineRule="auto"/>
        <w:ind w:right="17"/>
        <w:jc w:val="both"/>
        <w:rPr>
          <w:lang w:val="en-IE"/>
        </w:rPr>
      </w:pPr>
      <w:r w:rsidRPr="00CC6AE3">
        <w:rPr>
          <w:lang w:val="en-IE"/>
        </w:rPr>
        <w:t xml:space="preserve">if the participant is a company listed in the stock exchange, a subsidiary of a listed company or is controlled by a listed company, control will in principle be assessed in the same way as described above. Where the participant has a substantial number of shares that are floating (shares on regulated stock markets), the emphasis will be on:   </w:t>
      </w:r>
    </w:p>
    <w:p w:rsidRPr="00CC6AE3" w:rsidR="00783C0B" w:rsidP="00A02558" w:rsidRDefault="00783C0B" w14:paraId="69819A4C" w14:textId="77777777">
      <w:pPr>
        <w:pStyle w:val="ListParagraph"/>
        <w:numPr>
          <w:ilvl w:val="0"/>
          <w:numId w:val="20"/>
        </w:numPr>
        <w:spacing w:after="292" w:line="250" w:lineRule="auto"/>
        <w:ind w:right="17"/>
        <w:jc w:val="both"/>
        <w:rPr>
          <w:lang w:val="en-IE"/>
        </w:rPr>
      </w:pPr>
      <w:r w:rsidRPr="00CC6AE3">
        <w:rPr>
          <w:lang w:val="en-IE"/>
        </w:rPr>
        <w:t xml:space="preserve">the bodies entrusted with the adoption of strategic decisions,   </w:t>
      </w:r>
    </w:p>
    <w:p w:rsidR="00783C0B" w:rsidP="00A02558" w:rsidRDefault="00783C0B" w14:paraId="2C09579D" w14:textId="77777777">
      <w:pPr>
        <w:pStyle w:val="ListParagraph"/>
        <w:numPr>
          <w:ilvl w:val="0"/>
          <w:numId w:val="20"/>
        </w:numPr>
        <w:spacing w:after="292" w:line="250" w:lineRule="auto"/>
        <w:ind w:right="17"/>
        <w:jc w:val="both"/>
        <w:rPr>
          <w:lang w:val="en-IE"/>
        </w:rPr>
      </w:pPr>
      <w:r w:rsidRPr="00CC6AE3">
        <w:rPr>
          <w:lang w:val="en-IE"/>
        </w:rPr>
        <w:t xml:space="preserve">the decisions that are taken at the general meeting of shareholders and the quorum required (participation and majority), </w:t>
      </w:r>
    </w:p>
    <w:p w:rsidRPr="00934F5D" w:rsidR="00783C0B" w:rsidP="00A02558" w:rsidRDefault="00783C0B" w14:paraId="7D72DB21" w14:textId="77777777">
      <w:pPr>
        <w:pStyle w:val="ListParagraph"/>
        <w:numPr>
          <w:ilvl w:val="0"/>
          <w:numId w:val="20"/>
        </w:numPr>
        <w:spacing w:after="292" w:line="250" w:lineRule="auto"/>
        <w:ind w:right="17"/>
        <w:jc w:val="both"/>
        <w:rPr>
          <w:lang w:val="en-IE"/>
        </w:rPr>
      </w:pPr>
      <w:r w:rsidRPr="00934F5D">
        <w:rPr>
          <w:lang w:val="en-IE"/>
        </w:rPr>
        <w:t xml:space="preserve">the decisions that are taken in other management bodies (such as Executive Board, Supervisory Board, Board of Directors, Advisory Boards, CEO) and the quorum required (participation and majority), </w:t>
      </w:r>
    </w:p>
    <w:p w:rsidRPr="00CC6AE3" w:rsidR="00783C0B" w:rsidP="00A02558" w:rsidRDefault="00783C0B" w14:paraId="3A4D6A90" w14:textId="77777777">
      <w:pPr>
        <w:pStyle w:val="ListParagraph"/>
        <w:numPr>
          <w:ilvl w:val="0"/>
          <w:numId w:val="20"/>
        </w:numPr>
        <w:spacing w:after="292" w:line="250" w:lineRule="auto"/>
        <w:ind w:right="17"/>
        <w:jc w:val="both"/>
        <w:rPr>
          <w:lang w:val="en-IE"/>
        </w:rPr>
      </w:pPr>
      <w:r w:rsidRPr="00CC6AE3">
        <w:rPr>
          <w:lang w:val="en-IE"/>
        </w:rPr>
        <w:t xml:space="preserve">the appointment of management bodies and the possibilities for the largest shareholders to appoint them,  </w:t>
      </w:r>
    </w:p>
    <w:p w:rsidRPr="00CC6AE3" w:rsidR="00783C0B" w:rsidP="00A02558" w:rsidRDefault="00783C0B" w14:paraId="46FDED9B" w14:textId="2494809F">
      <w:pPr>
        <w:pStyle w:val="ListParagraph"/>
        <w:numPr>
          <w:ilvl w:val="0"/>
          <w:numId w:val="20"/>
        </w:numPr>
        <w:spacing w:after="292" w:line="250" w:lineRule="auto"/>
        <w:ind w:right="17"/>
        <w:jc w:val="both"/>
        <w:rPr>
          <w:lang w:val="en-IE"/>
        </w:rPr>
      </w:pPr>
      <w:r w:rsidRPr="00CC6AE3">
        <w:rPr>
          <w:lang w:val="en-IE"/>
        </w:rPr>
        <w:t xml:space="preserve">veto rights or multiple voting shares </w:t>
      </w:r>
      <w:r w:rsidRPr="00934F5D">
        <w:rPr>
          <w:rFonts w:ascii="Verdana" w:hAnsi="Verdana" w:eastAsia="Verdana" w:cs="Verdana"/>
          <w:i/>
          <w:sz w:val="18"/>
          <w:szCs w:val="18"/>
          <w:lang w:val="en-IE"/>
        </w:rPr>
        <w:t>(</w:t>
      </w:r>
      <w:r w:rsidRPr="00934F5D" w:rsidR="00F94DC0">
        <w:rPr>
          <w:rFonts w:ascii="Verdana" w:hAnsi="Verdana" w:eastAsia="Verdana" w:cs="Verdana"/>
          <w:i/>
          <w:sz w:val="18"/>
          <w:szCs w:val="18"/>
          <w:lang w:val="en-IE"/>
        </w:rPr>
        <w:t>e.g.,</w:t>
      </w:r>
      <w:r w:rsidRPr="00934F5D">
        <w:rPr>
          <w:rFonts w:ascii="Verdana" w:hAnsi="Verdana" w:eastAsia="Verdana" w:cs="Verdana"/>
          <w:i/>
          <w:sz w:val="18"/>
          <w:szCs w:val="18"/>
          <w:lang w:val="en-IE"/>
        </w:rPr>
        <w:t xml:space="preserve"> golden shares)</w:t>
      </w:r>
      <w:r w:rsidRPr="00934F5D">
        <w:rPr>
          <w:sz w:val="18"/>
          <w:szCs w:val="18"/>
          <w:lang w:val="en-IE"/>
        </w:rPr>
        <w:t xml:space="preserve">, </w:t>
      </w:r>
      <w:r w:rsidRPr="00CC6AE3">
        <w:rPr>
          <w:lang w:val="en-IE"/>
        </w:rPr>
        <w:t xml:space="preserve">if any.  </w:t>
      </w:r>
    </w:p>
    <w:p w:rsidRPr="00CC6AE3" w:rsidR="00783C0B" w:rsidP="00A02558" w:rsidRDefault="00783C0B" w14:paraId="16911E3D" w14:textId="701723B5">
      <w:pPr>
        <w:pStyle w:val="ListParagraph"/>
        <w:numPr>
          <w:ilvl w:val="0"/>
          <w:numId w:val="19"/>
        </w:numPr>
        <w:spacing w:after="295" w:line="250" w:lineRule="auto"/>
        <w:ind w:right="17"/>
        <w:jc w:val="both"/>
        <w:rPr>
          <w:lang w:val="en-IE"/>
        </w:rPr>
      </w:pPr>
      <w:r w:rsidRPr="00CC6AE3">
        <w:rPr>
          <w:lang w:val="en-IE"/>
        </w:rPr>
        <w:t xml:space="preserve">if not all the ultimate owners can be identified </w:t>
      </w:r>
      <w:r w:rsidRPr="00934F5D">
        <w:rPr>
          <w:rFonts w:ascii="Verdana" w:hAnsi="Verdana" w:eastAsia="Verdana" w:cs="Verdana"/>
          <w:i/>
          <w:sz w:val="18"/>
          <w:szCs w:val="18"/>
          <w:lang w:val="en-IE"/>
        </w:rPr>
        <w:t>(</w:t>
      </w:r>
      <w:r w:rsidRPr="00934F5D" w:rsidR="00F94DC0">
        <w:rPr>
          <w:rFonts w:ascii="Verdana" w:hAnsi="Verdana" w:eastAsia="Verdana" w:cs="Verdana"/>
          <w:i/>
          <w:sz w:val="18"/>
          <w:szCs w:val="18"/>
          <w:lang w:val="en-IE"/>
        </w:rPr>
        <w:t>e.g.,</w:t>
      </w:r>
      <w:r w:rsidRPr="00934F5D">
        <w:rPr>
          <w:rFonts w:ascii="Verdana" w:hAnsi="Verdana" w:eastAsia="Verdana" w:cs="Verdana"/>
          <w:i/>
          <w:sz w:val="18"/>
          <w:szCs w:val="18"/>
          <w:lang w:val="en-IE"/>
        </w:rPr>
        <w:t xml:space="preserve"> listed companies with important floats)</w:t>
      </w:r>
      <w:r w:rsidRPr="00934F5D">
        <w:rPr>
          <w:sz w:val="18"/>
          <w:szCs w:val="18"/>
          <w:lang w:val="en-IE"/>
        </w:rPr>
        <w:t xml:space="preserve">, </w:t>
      </w:r>
      <w:r w:rsidRPr="00CC6AE3">
        <w:rPr>
          <w:lang w:val="en-IE"/>
        </w:rPr>
        <w:t xml:space="preserve">the participant will be asked to demonstrate that under the applicable national law unknown shareholders cannot (alone or in concert) exercise a decisive influence, and must confirm that there is no shareholders agreement to act in coalition. </w:t>
      </w:r>
    </w:p>
    <w:p w:rsidRPr="00CC6AE3" w:rsidR="00783C0B" w:rsidP="00783C0B" w:rsidRDefault="00783C0B" w14:paraId="5841D636" w14:textId="6FC309C5">
      <w:pPr>
        <w:ind w:left="144" w:right="17"/>
        <w:jc w:val="both"/>
        <w:rPr>
          <w:lang w:val="en-IE"/>
        </w:rPr>
      </w:pPr>
      <w:r w:rsidRPr="00CC6AE3">
        <w:rPr>
          <w:lang w:val="en-IE"/>
        </w:rPr>
        <w:t>In this context, the place of residence of owners that are natural persons will be considered irrelevant. Individual owners with dual nationality (</w:t>
      </w:r>
      <w:r w:rsidR="008713A9">
        <w:rPr>
          <w:lang w:val="en-IE"/>
        </w:rPr>
        <w:t>Member State and third</w:t>
      </w:r>
      <w:r w:rsidRPr="00CC6AE3">
        <w:rPr>
          <w:lang w:val="en-IE"/>
        </w:rPr>
        <w:t xml:space="preserve"> country) will be considered as </w:t>
      </w:r>
      <w:r w:rsidR="008713A9">
        <w:rPr>
          <w:lang w:val="en-IE"/>
        </w:rPr>
        <w:t>Member State</w:t>
      </w:r>
      <w:r w:rsidRPr="00CC6AE3">
        <w:rPr>
          <w:lang w:val="en-IE"/>
        </w:rPr>
        <w:t xml:space="preserve"> nationals. </w:t>
      </w:r>
    </w:p>
    <w:p w:rsidRPr="00CC6AE3" w:rsidR="00783C0B" w:rsidP="00783C0B" w:rsidRDefault="00783C0B" w14:paraId="70C3BD77" w14:textId="77777777">
      <w:pPr>
        <w:spacing w:after="295"/>
        <w:ind w:left="144" w:right="17"/>
        <w:jc w:val="both"/>
        <w:rPr>
          <w:lang w:val="en-IE"/>
        </w:rPr>
      </w:pPr>
      <w:r w:rsidRPr="00CC6AE3">
        <w:rPr>
          <w:lang w:val="en-IE"/>
        </w:rPr>
        <w:t xml:space="preserve">Concerning specific rights, some examples of owners’ rights may deserve closer scrutiny in terms of ‘control’:  </w:t>
      </w:r>
    </w:p>
    <w:p w:rsidRPr="00CC6AE3" w:rsidR="00783C0B" w:rsidP="00A02558" w:rsidRDefault="00783C0B" w14:paraId="204874FE" w14:textId="77777777">
      <w:pPr>
        <w:numPr>
          <w:ilvl w:val="0"/>
          <w:numId w:val="21"/>
        </w:numPr>
        <w:spacing w:after="220" w:line="250" w:lineRule="auto"/>
        <w:ind w:right="17" w:hanging="504"/>
        <w:jc w:val="both"/>
        <w:rPr>
          <w:lang w:val="en-IE"/>
        </w:rPr>
      </w:pPr>
      <w:r w:rsidRPr="00CC6AE3">
        <w:rPr>
          <w:lang w:val="en-IE"/>
        </w:rPr>
        <w:t xml:space="preserve">right to veto a transfer of shares,  </w:t>
      </w:r>
    </w:p>
    <w:p w:rsidRPr="00CC6AE3" w:rsidR="00783C0B" w:rsidP="00A02558" w:rsidRDefault="00783C0B" w14:paraId="16BD0A5E" w14:textId="77777777">
      <w:pPr>
        <w:numPr>
          <w:ilvl w:val="0"/>
          <w:numId w:val="21"/>
        </w:numPr>
        <w:spacing w:after="294" w:line="250" w:lineRule="auto"/>
        <w:ind w:right="17" w:hanging="504"/>
        <w:jc w:val="both"/>
        <w:rPr>
          <w:lang w:val="en-IE"/>
        </w:rPr>
      </w:pPr>
      <w:r w:rsidRPr="00CC6AE3">
        <w:rPr>
          <w:lang w:val="en-IE"/>
        </w:rPr>
        <w:t xml:space="preserve">some forms of pre-emption rights (right given to an existing shareholder to be the first option in case other shareholders want to sell their shares), </w:t>
      </w:r>
    </w:p>
    <w:p w:rsidRPr="00CC6AE3" w:rsidR="00783C0B" w:rsidP="00A02558" w:rsidRDefault="00783C0B" w14:paraId="6D4386AC" w14:textId="77777777">
      <w:pPr>
        <w:numPr>
          <w:ilvl w:val="0"/>
          <w:numId w:val="21"/>
        </w:numPr>
        <w:spacing w:after="192" w:line="250" w:lineRule="auto"/>
        <w:ind w:right="17" w:hanging="504"/>
        <w:jc w:val="both"/>
        <w:rPr>
          <w:lang w:val="en-IE"/>
        </w:rPr>
      </w:pPr>
      <w:r w:rsidRPr="00CC6AE3">
        <w:rPr>
          <w:lang w:val="en-IE"/>
        </w:rPr>
        <w:t xml:space="preserve">specific rights to sell shares, purchase additional shares or conditions imposed by the third country shareholder for its investment in the participant,  </w:t>
      </w:r>
    </w:p>
    <w:p w:rsidRPr="00CC6AE3" w:rsidR="00783C0B" w:rsidP="00783C0B" w:rsidRDefault="00783C0B" w14:paraId="52925C1C" w14:textId="285AC5AD">
      <w:pPr>
        <w:ind w:left="144" w:right="17"/>
        <w:jc w:val="both"/>
        <w:rPr>
          <w:lang w:val="en-IE"/>
        </w:rPr>
      </w:pPr>
      <w:r w:rsidRPr="00CC6AE3">
        <w:rPr>
          <w:lang w:val="en-IE"/>
        </w:rPr>
        <w:t xml:space="preserve">if they lead to a situation where a third country, a third country entity or a third country national control the participant.   </w:t>
      </w:r>
    </w:p>
    <w:p w:rsidR="00783C0B" w:rsidP="00783C0B" w:rsidRDefault="00783C0B" w14:paraId="53E4801A" w14:textId="77777777">
      <w:pPr>
        <w:pStyle w:val="Heading2"/>
        <w:ind w:left="144" w:right="14"/>
      </w:pPr>
      <w:r>
        <w:t xml:space="preserve">Corporate governance  </w:t>
      </w:r>
    </w:p>
    <w:p w:rsidRPr="00CC6AE3" w:rsidR="00783C0B" w:rsidP="00783C0B" w:rsidRDefault="00783C0B" w14:paraId="00134ECC" w14:textId="42C1CFB0">
      <w:pPr>
        <w:ind w:left="144" w:right="17"/>
        <w:jc w:val="both"/>
        <w:rPr>
          <w:lang w:val="en-IE"/>
        </w:rPr>
      </w:pPr>
      <w:r w:rsidRPr="00CC6AE3">
        <w:rPr>
          <w:lang w:val="en-IE"/>
        </w:rPr>
        <w:t xml:space="preserve">The corporate governance will be examined to establish whether strategic decisions may be influenced, actively (through an action) or passively (by not exercising its rights, </w:t>
      </w:r>
      <w:r w:rsidRPr="00F624D7" w:rsidR="00F94DC0">
        <w:rPr>
          <w:lang w:val="en-IE"/>
        </w:rPr>
        <w:t>e.g.,</w:t>
      </w:r>
      <w:r w:rsidRPr="00F624D7">
        <w:rPr>
          <w:lang w:val="en-IE"/>
        </w:rPr>
        <w:t xml:space="preserve"> abstention</w:t>
      </w:r>
      <w:r w:rsidRPr="00CC6AE3">
        <w:rPr>
          <w:lang w:val="en-IE"/>
        </w:rPr>
        <w:t xml:space="preserve">), by a third country, a third country entity or a third country national. </w:t>
      </w:r>
    </w:p>
    <w:p w:rsidRPr="00CC6AE3" w:rsidR="00783C0B" w:rsidP="00783C0B" w:rsidRDefault="00783C0B" w14:paraId="7FC2AA6B" w14:textId="77777777">
      <w:pPr>
        <w:ind w:left="144" w:right="17"/>
        <w:jc w:val="both"/>
        <w:rPr>
          <w:lang w:val="en-IE"/>
        </w:rPr>
      </w:pPr>
      <w:r w:rsidRPr="00CC6AE3">
        <w:rPr>
          <w:lang w:val="en-IE"/>
        </w:rPr>
        <w:lastRenderedPageBreak/>
        <w:t xml:space="preserve">The assessment will identify at which level (by which bodies) the strategic business decisions are taken, the decision-making procedures (including majorities and quorum requirements, voting rules and prerogatives accorded to other bodies, if any) and the nature of decisions taken.  </w:t>
      </w:r>
    </w:p>
    <w:p w:rsidRPr="00CC6AE3" w:rsidR="00783C0B" w:rsidP="00783C0B" w:rsidRDefault="00783C0B" w14:paraId="6A10C18F" w14:textId="77777777">
      <w:pPr>
        <w:ind w:left="144" w:right="17"/>
        <w:jc w:val="both"/>
        <w:rPr>
          <w:lang w:val="en-IE"/>
        </w:rPr>
      </w:pPr>
      <w:r w:rsidRPr="00CC6AE3">
        <w:rPr>
          <w:lang w:val="en-IE"/>
        </w:rPr>
        <w:t xml:space="preserve">If third countries, third country entities or third country nationals have the possibility to influence the voting rights (or the possibility to veto decisions), this may lead to consider that they exercise decisive influence.  </w:t>
      </w:r>
    </w:p>
    <w:p w:rsidR="00783C0B" w:rsidP="00783C0B" w:rsidRDefault="00783C0B" w14:paraId="1FDE67CA" w14:textId="77777777">
      <w:pPr>
        <w:pStyle w:val="Heading2"/>
        <w:ind w:left="144" w:right="14"/>
      </w:pPr>
      <w:r>
        <w:t xml:space="preserve">Commercial links conferring control  </w:t>
      </w:r>
    </w:p>
    <w:p w:rsidRPr="00CC6AE3" w:rsidR="00783C0B" w:rsidP="00783C0B" w:rsidRDefault="00783C0B" w14:paraId="324065E2" w14:textId="3CDBD496">
      <w:pPr>
        <w:ind w:left="144" w:right="17"/>
        <w:jc w:val="both"/>
        <w:rPr>
          <w:lang w:val="en-IE"/>
        </w:rPr>
      </w:pPr>
      <w:r w:rsidRPr="00CC6AE3">
        <w:rPr>
          <w:lang w:val="en-IE"/>
        </w:rPr>
        <w:t xml:space="preserve">Commercial links will, where necessary, be analysed, in combination with other factors, to establish whether the participant (or its owners) </w:t>
      </w:r>
      <w:r w:rsidRPr="00CC6AE3" w:rsidR="00F94DC0">
        <w:rPr>
          <w:lang w:val="en-IE"/>
        </w:rPr>
        <w:t>is</w:t>
      </w:r>
      <w:r w:rsidRPr="00CC6AE3">
        <w:rPr>
          <w:lang w:val="en-IE"/>
        </w:rPr>
        <w:t xml:space="preserve"> dependent on commercial cooperation with a</w:t>
      </w:r>
      <w:r w:rsidR="008713A9">
        <w:rPr>
          <w:lang w:val="en-IE"/>
        </w:rPr>
        <w:t xml:space="preserve"> third</w:t>
      </w:r>
      <w:r w:rsidRPr="00CC6AE3">
        <w:rPr>
          <w:lang w:val="en-IE"/>
        </w:rPr>
        <w:t xml:space="preserve"> country/</w:t>
      </w:r>
      <w:r w:rsidR="008713A9">
        <w:rPr>
          <w:lang w:val="en-IE"/>
        </w:rPr>
        <w:t>third</w:t>
      </w:r>
      <w:r w:rsidRPr="00CC6AE3">
        <w:rPr>
          <w:lang w:val="en-IE"/>
        </w:rPr>
        <w:t xml:space="preserve"> country entity, in a way that could give them strategic influence </w:t>
      </w:r>
      <w:r w:rsidRPr="00FB2DAD">
        <w:rPr>
          <w:lang w:val="en-IE"/>
        </w:rPr>
        <w:t>(</w:t>
      </w:r>
      <w:r w:rsidRPr="00FB2DAD" w:rsidR="00F94DC0">
        <w:rPr>
          <w:lang w:val="en-IE"/>
        </w:rPr>
        <w:t>e.g.,</w:t>
      </w:r>
      <w:r w:rsidRPr="00FB2DAD">
        <w:rPr>
          <w:lang w:val="en-IE"/>
        </w:rPr>
        <w:t xml:space="preserve"> long-term supply or buy agreements that allow it to decide on the commercial strategy, joint venture or other commercial cooperation)</w:t>
      </w:r>
      <w:r w:rsidRPr="00CC6AE3">
        <w:rPr>
          <w:lang w:val="en-IE"/>
        </w:rPr>
        <w:t xml:space="preserve">. </w:t>
      </w:r>
    </w:p>
    <w:p w:rsidR="00783C0B" w:rsidP="00783C0B" w:rsidRDefault="00783C0B" w14:paraId="6B915D19" w14:textId="77777777">
      <w:pPr>
        <w:pStyle w:val="Heading2"/>
        <w:ind w:left="144" w:right="14"/>
      </w:pPr>
      <w:r>
        <w:t xml:space="preserve">Financial links conferring control  </w:t>
      </w:r>
    </w:p>
    <w:p w:rsidRPr="00CC6AE3" w:rsidR="00783C0B" w:rsidP="00783C0B" w:rsidRDefault="00783C0B" w14:paraId="42AD8BA8" w14:textId="5877467F">
      <w:pPr>
        <w:ind w:left="144" w:right="17"/>
        <w:jc w:val="both"/>
        <w:rPr>
          <w:lang w:val="en-IE"/>
        </w:rPr>
      </w:pPr>
      <w:r w:rsidRPr="00CC6AE3">
        <w:rPr>
          <w:lang w:val="en-IE"/>
        </w:rPr>
        <w:t xml:space="preserve">Financial links will be analysed to establish whether the participant (or its owners) </w:t>
      </w:r>
      <w:r w:rsidRPr="00CC6AE3" w:rsidR="00F94DC0">
        <w:rPr>
          <w:lang w:val="en-IE"/>
        </w:rPr>
        <w:t>is</w:t>
      </w:r>
      <w:r w:rsidRPr="00CC6AE3">
        <w:rPr>
          <w:lang w:val="en-IE"/>
        </w:rPr>
        <w:t xml:space="preserve"> financially dependent on a</w:t>
      </w:r>
      <w:r w:rsidR="008713A9">
        <w:rPr>
          <w:lang w:val="en-IE"/>
        </w:rPr>
        <w:t xml:space="preserve"> third</w:t>
      </w:r>
      <w:r w:rsidRPr="00CC6AE3">
        <w:rPr>
          <w:lang w:val="en-IE"/>
        </w:rPr>
        <w:t xml:space="preserve"> country/</w:t>
      </w:r>
      <w:r w:rsidR="008713A9">
        <w:rPr>
          <w:lang w:val="en-IE"/>
        </w:rPr>
        <w:t>third</w:t>
      </w:r>
      <w:r w:rsidRPr="00CC6AE3">
        <w:rPr>
          <w:lang w:val="en-IE"/>
        </w:rPr>
        <w:t xml:space="preserve"> country entity, in a way that could allow the </w:t>
      </w:r>
      <w:r w:rsidR="008713A9">
        <w:rPr>
          <w:lang w:val="en-IE"/>
        </w:rPr>
        <w:t>third</w:t>
      </w:r>
      <w:r w:rsidRPr="00CC6AE3">
        <w:rPr>
          <w:lang w:val="en-IE"/>
        </w:rPr>
        <w:t xml:space="preserve"> country/</w:t>
      </w:r>
      <w:r w:rsidR="008713A9">
        <w:rPr>
          <w:lang w:val="en-IE"/>
        </w:rPr>
        <w:t>third</w:t>
      </w:r>
      <w:r w:rsidRPr="00CC6AE3">
        <w:rPr>
          <w:lang w:val="en-IE"/>
        </w:rPr>
        <w:t xml:space="preserve"> country entity to obtain the power to adopt or influence strategic decisions.  </w:t>
      </w:r>
    </w:p>
    <w:p w:rsidRPr="00CC6AE3" w:rsidR="00783C0B" w:rsidP="00783C0B" w:rsidRDefault="00783C0B" w14:paraId="16D38460" w14:textId="77777777">
      <w:pPr>
        <w:ind w:left="144" w:right="17"/>
        <w:jc w:val="both"/>
        <w:rPr>
          <w:lang w:val="en-IE"/>
        </w:rPr>
      </w:pPr>
      <w:r w:rsidRPr="00CC6AE3">
        <w:rPr>
          <w:lang w:val="en-IE"/>
        </w:rPr>
        <w:t xml:space="preserve">All modes of financing may be </w:t>
      </w:r>
      <w:proofErr w:type="gramStart"/>
      <w:r w:rsidRPr="00CC6AE3">
        <w:rPr>
          <w:lang w:val="en-IE"/>
        </w:rPr>
        <w:t>taken into account</w:t>
      </w:r>
      <w:proofErr w:type="gramEnd"/>
      <w:r w:rsidRPr="00CC6AE3">
        <w:rPr>
          <w:lang w:val="en-IE"/>
        </w:rPr>
        <w:t>, such as capital increase, loans, guarantees, debt waivers, bails</w:t>
      </w:r>
      <w:r>
        <w:rPr>
          <w:vertAlign w:val="superscript"/>
        </w:rPr>
        <w:footnoteReference w:id="3"/>
      </w:r>
      <w:r w:rsidRPr="00CC6AE3">
        <w:rPr>
          <w:lang w:val="en-IE"/>
        </w:rPr>
        <w:t xml:space="preserve"> and grants.  </w:t>
      </w:r>
    </w:p>
    <w:p w:rsidRPr="00CC6AE3" w:rsidR="00783C0B" w:rsidP="00783C0B" w:rsidRDefault="00783C0B" w14:paraId="4B8A1045" w14:textId="72D86554">
      <w:pPr>
        <w:ind w:left="144" w:right="17"/>
        <w:jc w:val="both"/>
        <w:rPr>
          <w:lang w:val="en-IE"/>
        </w:rPr>
      </w:pPr>
      <w:r w:rsidRPr="00CC6AE3">
        <w:rPr>
          <w:lang w:val="en-IE"/>
        </w:rPr>
        <w:t>If the financial link is with a shareholder, the degree of financial dependence will be measured in proportion to the shareholding (</w:t>
      </w:r>
      <w:r w:rsidRPr="00CC6AE3" w:rsidR="00F94DC0">
        <w:rPr>
          <w:lang w:val="en-IE"/>
        </w:rPr>
        <w:t>i.e.,</w:t>
      </w:r>
      <w:r w:rsidRPr="00CC6AE3">
        <w:rPr>
          <w:lang w:val="en-IE"/>
        </w:rPr>
        <w:t xml:space="preserve"> how much more than the value of the shares was financed).  </w:t>
      </w:r>
    </w:p>
    <w:p w:rsidR="00783C0B" w:rsidP="00783C0B" w:rsidRDefault="00783C0B" w14:paraId="0A9F0627" w14:textId="77777777">
      <w:pPr>
        <w:pStyle w:val="Heading2"/>
        <w:ind w:left="144" w:right="14"/>
      </w:pPr>
      <w:r>
        <w:t xml:space="preserve">Other sources of control  </w:t>
      </w:r>
    </w:p>
    <w:p w:rsidRPr="00CC6AE3" w:rsidR="00783C0B" w:rsidP="00783C0B" w:rsidRDefault="00783C0B" w14:paraId="11BBCCE7" w14:textId="72B436A2">
      <w:pPr>
        <w:ind w:left="144" w:right="17"/>
        <w:jc w:val="both"/>
        <w:rPr>
          <w:lang w:val="en-IE"/>
        </w:rPr>
      </w:pPr>
      <w:r w:rsidRPr="00CC6AE3">
        <w:rPr>
          <w:lang w:val="en-IE"/>
        </w:rPr>
        <w:t>There might be other sources of control (</w:t>
      </w:r>
      <w:r w:rsidRPr="00CC6AE3" w:rsidR="00F94DC0">
        <w:rPr>
          <w:lang w:val="en-IE"/>
        </w:rPr>
        <w:t>i.e.,</w:t>
      </w:r>
      <w:r w:rsidRPr="00CC6AE3">
        <w:rPr>
          <w:lang w:val="en-IE"/>
        </w:rPr>
        <w:t xml:space="preserve"> other means, processes or links ultimately conferring control to </w:t>
      </w:r>
      <w:r w:rsidR="008713A9">
        <w:rPr>
          <w:lang w:val="en-IE"/>
        </w:rPr>
        <w:t>third</w:t>
      </w:r>
      <w:r w:rsidRPr="00CC6AE3">
        <w:rPr>
          <w:lang w:val="en-IE"/>
        </w:rPr>
        <w:t xml:space="preserve"> countries/</w:t>
      </w:r>
      <w:r w:rsidR="008713A9">
        <w:rPr>
          <w:lang w:val="en-IE"/>
        </w:rPr>
        <w:t>third</w:t>
      </w:r>
      <w:r w:rsidRPr="00CC6AE3">
        <w:rPr>
          <w:lang w:val="en-IE"/>
        </w:rPr>
        <w:t xml:space="preserve"> country entities). </w:t>
      </w:r>
    </w:p>
    <w:p w:rsidRPr="00CC6AE3" w:rsidR="00783C0B" w:rsidP="00783C0B" w:rsidRDefault="00783C0B" w14:paraId="6CB07F60" w14:textId="61E84537">
      <w:pPr>
        <w:ind w:left="144" w:right="17"/>
        <w:jc w:val="both"/>
        <w:rPr>
          <w:lang w:val="en-IE"/>
        </w:rPr>
      </w:pPr>
      <w:r w:rsidRPr="00CC6AE3">
        <w:rPr>
          <w:lang w:val="en-IE"/>
        </w:rPr>
        <w:t xml:space="preserve">They will be assessed </w:t>
      </w:r>
      <w:proofErr w:type="gramStart"/>
      <w:r w:rsidRPr="00CC6AE3">
        <w:rPr>
          <w:lang w:val="en-IE"/>
        </w:rPr>
        <w:t>on the basis of</w:t>
      </w:r>
      <w:proofErr w:type="gramEnd"/>
      <w:r w:rsidRPr="00CC6AE3">
        <w:rPr>
          <w:lang w:val="en-IE"/>
        </w:rPr>
        <w:t xml:space="preserve"> the information provided in </w:t>
      </w:r>
      <w:r w:rsidR="008713A9">
        <w:rPr>
          <w:lang w:val="en-IE"/>
        </w:rPr>
        <w:t xml:space="preserve">Annex </w:t>
      </w:r>
      <w:r w:rsidR="005F53F0">
        <w:rPr>
          <w:lang w:val="en-IE"/>
        </w:rPr>
        <w:t>PC</w:t>
      </w:r>
      <w:r w:rsidR="008713A9">
        <w:rPr>
          <w:lang w:val="en-IE"/>
        </w:rPr>
        <w:t>. on Eligibility and Participation Conditions, including supporting evidence</w:t>
      </w:r>
      <w:r w:rsidRPr="00CC6AE3">
        <w:rPr>
          <w:lang w:val="en-IE"/>
        </w:rPr>
        <w:t xml:space="preserve">.  </w:t>
      </w:r>
    </w:p>
    <w:p w:rsidR="00783C0B" w:rsidP="00783C0B" w:rsidRDefault="00783C0B" w14:paraId="4A136E53" w14:textId="2415E148">
      <w:pPr>
        <w:pStyle w:val="Heading1"/>
        <w:spacing w:after="189" w:line="251" w:lineRule="auto"/>
        <w:ind w:left="566" w:hanging="432"/>
        <w:jc w:val="both"/>
      </w:pPr>
      <w:bookmarkStart w:name="_Toc128559539" w:id="2"/>
      <w:r>
        <w:rPr>
          <w:b/>
        </w:rPr>
        <w:t>How will</w:t>
      </w:r>
      <w:r w:rsidR="00D93798">
        <w:rPr>
          <w:b/>
        </w:rPr>
        <w:t xml:space="preserve"> the</w:t>
      </w:r>
      <w:r>
        <w:rPr>
          <w:b/>
        </w:rPr>
        <w:t xml:space="preserve"> control </w:t>
      </w:r>
      <w:r w:rsidR="00D93798">
        <w:rPr>
          <w:b/>
        </w:rPr>
        <w:t xml:space="preserve">condition </w:t>
      </w:r>
      <w:r>
        <w:rPr>
          <w:b/>
        </w:rPr>
        <w:t>be checked? — Ownership control assessment</w:t>
      </w:r>
      <w:bookmarkEnd w:id="2"/>
      <w:r>
        <w:rPr>
          <w:b/>
        </w:rPr>
        <w:t xml:space="preserve"> </w:t>
      </w:r>
    </w:p>
    <w:p w:rsidR="00783C0B" w:rsidP="00783C0B" w:rsidRDefault="00783C0B" w14:paraId="667C4815" w14:textId="77777777">
      <w:pPr>
        <w:pStyle w:val="Heading2"/>
        <w:ind w:left="144" w:right="14"/>
      </w:pPr>
      <w:r>
        <w:t xml:space="preserve">Assessment by the EU services </w:t>
      </w:r>
    </w:p>
    <w:p w:rsidRPr="00CC6AE3" w:rsidR="00783C0B" w:rsidP="00783C0B" w:rsidRDefault="00783C0B" w14:paraId="48E636FA" w14:textId="2260D82C">
      <w:pPr>
        <w:ind w:left="144" w:right="17"/>
        <w:jc w:val="both"/>
        <w:rPr>
          <w:lang w:val="en-IE"/>
        </w:rPr>
      </w:pPr>
      <w:r>
        <w:rPr>
          <w:lang w:val="en-IE"/>
        </w:rPr>
        <w:t xml:space="preserve">The assessment will be performed by </w:t>
      </w:r>
      <w:r w:rsidR="00B57E89">
        <w:rPr>
          <w:lang w:val="en-IE"/>
        </w:rPr>
        <w:t xml:space="preserve">the </w:t>
      </w:r>
      <w:r w:rsidR="00983D49">
        <w:rPr>
          <w:lang w:val="en-IE"/>
        </w:rPr>
        <w:t>European Commission</w:t>
      </w:r>
      <w:r w:rsidR="00B9061A">
        <w:rPr>
          <w:lang w:val="en-IE"/>
        </w:rPr>
        <w:t xml:space="preserve"> (EC)</w:t>
      </w:r>
      <w:r w:rsidR="00B57E89">
        <w:rPr>
          <w:lang w:val="en-IE"/>
        </w:rPr>
        <w:t xml:space="preserve"> based</w:t>
      </w:r>
      <w:r w:rsidR="008713A9">
        <w:rPr>
          <w:lang w:val="en-IE"/>
        </w:rPr>
        <w:t xml:space="preserve"> on information provided in </w:t>
      </w:r>
      <w:r w:rsidR="00F94DC0">
        <w:rPr>
          <w:lang w:val="en-IE"/>
        </w:rPr>
        <w:t>Annex PC and</w:t>
      </w:r>
      <w:r w:rsidR="008713A9">
        <w:rPr>
          <w:lang w:val="en-IE"/>
        </w:rPr>
        <w:t xml:space="preserve"> submitted</w:t>
      </w:r>
      <w:r w:rsidRPr="00CC6AE3" w:rsidR="008713A9">
        <w:rPr>
          <w:lang w:val="en-IE"/>
        </w:rPr>
        <w:t xml:space="preserve"> suppo</w:t>
      </w:r>
      <w:r w:rsidR="008713A9">
        <w:rPr>
          <w:lang w:val="en-IE"/>
        </w:rPr>
        <w:t>rting documents</w:t>
      </w:r>
      <w:r>
        <w:rPr>
          <w:lang w:val="en-IE"/>
        </w:rPr>
        <w:t xml:space="preserve">. </w:t>
      </w:r>
    </w:p>
    <w:p w:rsidRPr="00CC6AE3" w:rsidR="00783C0B" w:rsidP="00783C0B" w:rsidRDefault="00783C0B" w14:paraId="42D7FD7F" w14:textId="675C9A2C">
      <w:pPr>
        <w:ind w:left="144" w:right="17"/>
        <w:jc w:val="both"/>
        <w:rPr>
          <w:lang w:val="en-IE"/>
        </w:rPr>
      </w:pPr>
      <w:r w:rsidRPr="00CC6AE3">
        <w:rPr>
          <w:lang w:val="en-IE"/>
        </w:rPr>
        <w:t xml:space="preserve">In case of doubt, the </w:t>
      </w:r>
      <w:r w:rsidR="00B9061A">
        <w:rPr>
          <w:lang w:val="en-IE"/>
        </w:rPr>
        <w:t xml:space="preserve">EC </w:t>
      </w:r>
      <w:r w:rsidR="008713A9">
        <w:rPr>
          <w:lang w:val="en-IE"/>
        </w:rPr>
        <w:t xml:space="preserve">Evaluation </w:t>
      </w:r>
      <w:r w:rsidRPr="007437D9" w:rsidR="008713A9">
        <w:rPr>
          <w:lang w:val="en-IE"/>
        </w:rPr>
        <w:t>Committee</w:t>
      </w:r>
      <w:r w:rsidRPr="00CC6AE3">
        <w:rPr>
          <w:lang w:val="en-IE"/>
        </w:rPr>
        <w:t xml:space="preserve"> may use publicly available information to clarify questions about the data or information provided or contact </w:t>
      </w:r>
      <w:r w:rsidR="008713A9">
        <w:rPr>
          <w:lang w:val="en-IE"/>
        </w:rPr>
        <w:t>the participant</w:t>
      </w:r>
      <w:r w:rsidRPr="00CC6AE3">
        <w:rPr>
          <w:lang w:val="en-IE"/>
        </w:rPr>
        <w:t xml:space="preserve"> for clarifications or additional information. </w:t>
      </w:r>
    </w:p>
    <w:p w:rsidRPr="00CC6AE3" w:rsidR="00783C0B" w:rsidP="00783C0B" w:rsidRDefault="00783C0B" w14:paraId="7324C175" w14:textId="77777777">
      <w:pPr>
        <w:ind w:left="144" w:right="17"/>
        <w:jc w:val="both"/>
        <w:rPr>
          <w:lang w:val="en-IE"/>
        </w:rPr>
      </w:pPr>
      <w:r w:rsidRPr="00CC6AE3">
        <w:rPr>
          <w:lang w:val="en-IE"/>
        </w:rPr>
        <w:t xml:space="preserve">All data and documents will be treated as confidential. </w:t>
      </w:r>
    </w:p>
    <w:p w:rsidRPr="00CC6AE3" w:rsidR="00783C0B" w:rsidP="00783C0B" w:rsidRDefault="00783C0B" w14:paraId="641E9AEA" w14:textId="77777777">
      <w:pPr>
        <w:ind w:left="144" w:right="17"/>
        <w:jc w:val="both"/>
        <w:rPr>
          <w:lang w:val="en-IE"/>
        </w:rPr>
      </w:pPr>
      <w:r w:rsidRPr="00CC6AE3">
        <w:rPr>
          <w:lang w:val="en-IE"/>
        </w:rPr>
        <w:lastRenderedPageBreak/>
        <w:t xml:space="preserve">Personal data will be handled in accordance with EU Regulation </w:t>
      </w:r>
      <w:hyperlink r:id="rId10">
        <w:r w:rsidRPr="00CC6AE3">
          <w:rPr>
            <w:color w:val="0088CC"/>
            <w:lang w:val="en-IE"/>
          </w:rPr>
          <w:t>2018/1725</w:t>
        </w:r>
      </w:hyperlink>
      <w:r>
        <w:rPr>
          <w:vertAlign w:val="superscript"/>
        </w:rPr>
        <w:footnoteReference w:id="4"/>
      </w:r>
      <w:r w:rsidRPr="00CC6AE3">
        <w:rPr>
          <w:lang w:val="en-IE"/>
        </w:rPr>
        <w:t xml:space="preserve"> to ensure compliance with the principles of transparency, proportionality, impartiality and legality. </w:t>
      </w:r>
    </w:p>
    <w:p w:rsidRPr="00CC6AE3" w:rsidR="00783C0B" w:rsidP="00783C0B" w:rsidRDefault="00783C0B" w14:paraId="0529F521" w14:textId="088ABD0F">
      <w:pPr>
        <w:ind w:left="144" w:right="17"/>
        <w:jc w:val="both"/>
        <w:rPr>
          <w:lang w:val="en-IE"/>
        </w:rPr>
      </w:pPr>
    </w:p>
    <w:p w:rsidR="00783C0B" w:rsidP="00A02558" w:rsidRDefault="00783C0B" w14:paraId="35AD989A" w14:textId="0917F644">
      <w:pPr>
        <w:pStyle w:val="Heading1"/>
        <w:spacing w:after="189" w:line="251" w:lineRule="auto"/>
        <w:ind w:left="566" w:hanging="432"/>
        <w:jc w:val="both"/>
        <w:rPr>
          <w:b/>
        </w:rPr>
      </w:pPr>
      <w:r w:rsidRPr="00A02558">
        <w:rPr>
          <w:b/>
        </w:rPr>
        <w:t>Waivers</w:t>
      </w:r>
    </w:p>
    <w:p w:rsidR="001F16D1" w:rsidP="001F16D1" w:rsidRDefault="001F16D1" w14:paraId="32E6707E" w14:textId="77777777">
      <w:pPr>
        <w:rPr>
          <w:u w:val="single"/>
          <w:lang w:val="en-IE" w:eastAsia="en-IE"/>
        </w:rPr>
      </w:pPr>
    </w:p>
    <w:p w:rsidRPr="000F0D4F" w:rsidR="001F16D1" w:rsidP="001F16D1" w:rsidRDefault="001F16D1" w14:paraId="33AA187D" w14:textId="655E3A07">
      <w:pPr>
        <w:rPr>
          <w:u w:val="single"/>
          <w:lang w:val="en-IE" w:eastAsia="en-IE"/>
        </w:rPr>
      </w:pPr>
      <w:r w:rsidRPr="001F16D1">
        <w:rPr>
          <w:u w:val="single"/>
          <w:lang w:val="en-IE" w:eastAsia="en-IE"/>
        </w:rPr>
        <w:t>Waivers on criteria a) and b)</w:t>
      </w:r>
      <w:r w:rsidR="00743AB2">
        <w:rPr>
          <w:u w:val="single"/>
          <w:lang w:val="en-IE" w:eastAsia="en-IE"/>
        </w:rPr>
        <w:t xml:space="preserve"> – section 5</w:t>
      </w:r>
    </w:p>
    <w:p w:rsidR="001F16D1" w:rsidP="001F16D1" w:rsidRDefault="001F16D1" w14:paraId="7AA5D89B" w14:textId="7DFCF979">
      <w:pPr>
        <w:ind w:right="17"/>
        <w:jc w:val="both"/>
        <w:rPr>
          <w:lang w:val="en-IE"/>
        </w:rPr>
      </w:pPr>
      <w:r>
        <w:rPr>
          <w:lang w:val="en-IE"/>
        </w:rPr>
        <w:t>P</w:t>
      </w:r>
      <w:r w:rsidRPr="00CC6AE3">
        <w:rPr>
          <w:lang w:val="en-IE"/>
        </w:rPr>
        <w:t>articipation may still be possible</w:t>
      </w:r>
      <w:r>
        <w:rPr>
          <w:lang w:val="en-IE"/>
        </w:rPr>
        <w:t xml:space="preserve"> when an entity is not established in the </w:t>
      </w:r>
      <w:r w:rsidR="00F94DC0">
        <w:rPr>
          <w:lang w:val="en-IE"/>
        </w:rPr>
        <w:t>EU,</w:t>
      </w:r>
      <w:r>
        <w:rPr>
          <w:lang w:val="en-IE"/>
        </w:rPr>
        <w:t xml:space="preserve"> or a relevant activity is performed outside of the EU. In this case, the entity concerned shall submit a request for waiver</w:t>
      </w:r>
      <w:r w:rsidR="005F53F0">
        <w:rPr>
          <w:lang w:val="en-IE"/>
        </w:rPr>
        <w:t xml:space="preserve"> (a template is provided in Annex </w:t>
      </w:r>
      <w:r w:rsidR="00F94DC0">
        <w:rPr>
          <w:lang w:val="en-IE"/>
        </w:rPr>
        <w:t xml:space="preserve">PC) </w:t>
      </w:r>
      <w:r w:rsidRPr="00CC6AE3" w:rsidR="00F94DC0">
        <w:rPr>
          <w:lang w:val="en-IE"/>
        </w:rPr>
        <w:t>together</w:t>
      </w:r>
      <w:r>
        <w:rPr>
          <w:lang w:val="en-IE"/>
        </w:rPr>
        <w:t xml:space="preserve"> with </w:t>
      </w:r>
      <w:r w:rsidRPr="00CC6AE3">
        <w:rPr>
          <w:lang w:val="en-IE"/>
        </w:rPr>
        <w:t xml:space="preserve">guarantees </w:t>
      </w:r>
      <w:r>
        <w:rPr>
          <w:lang w:val="en-IE"/>
        </w:rPr>
        <w:t xml:space="preserve">in line with the following </w:t>
      </w:r>
      <w:r w:rsidR="00F94DC0">
        <w:rPr>
          <w:lang w:val="en-IE"/>
        </w:rPr>
        <w:t>requirements:</w:t>
      </w:r>
    </w:p>
    <w:p w:rsidRPr="001F16D1" w:rsidR="001F16D1" w:rsidP="001F16D1" w:rsidRDefault="001F16D1" w14:paraId="49DBCAA0" w14:textId="11FE8D17">
      <w:pPr>
        <w:pStyle w:val="ListParagraph"/>
        <w:numPr>
          <w:ilvl w:val="0"/>
          <w:numId w:val="22"/>
        </w:numPr>
        <w:rPr>
          <w:lang w:val="en-IE"/>
        </w:rPr>
      </w:pPr>
      <w:r w:rsidRPr="001F16D1">
        <w:rPr>
          <w:lang w:val="en-IE"/>
        </w:rPr>
        <w:t>The activity is needed for the performance of the grant</w:t>
      </w:r>
    </w:p>
    <w:p w:rsidR="001F16D1" w:rsidP="001F16D1" w:rsidRDefault="001F16D1" w14:paraId="7565464C" w14:textId="6CFB99C8">
      <w:pPr>
        <w:pStyle w:val="ListParagraph"/>
        <w:numPr>
          <w:ilvl w:val="0"/>
          <w:numId w:val="22"/>
        </w:numPr>
        <w:rPr>
          <w:lang w:val="en-IE"/>
        </w:rPr>
      </w:pPr>
      <w:r w:rsidRPr="001F16D1">
        <w:rPr>
          <w:lang w:val="en-IE"/>
        </w:rPr>
        <w:t xml:space="preserve">no substitutes are readily available in the Member </w:t>
      </w:r>
      <w:r w:rsidRPr="001F16D1" w:rsidR="00F94DC0">
        <w:rPr>
          <w:lang w:val="en-IE"/>
        </w:rPr>
        <w:t>States.</w:t>
      </w:r>
      <w:r w:rsidRPr="001F16D1">
        <w:rPr>
          <w:lang w:val="en-IE"/>
        </w:rPr>
        <w:t xml:space="preserve"> </w:t>
      </w:r>
    </w:p>
    <w:p w:rsidR="001F16D1" w:rsidP="001F16D1" w:rsidRDefault="001F16D1" w14:paraId="3C1F6BB7" w14:textId="77777777">
      <w:pPr>
        <w:pStyle w:val="ListParagraph"/>
        <w:numPr>
          <w:ilvl w:val="0"/>
          <w:numId w:val="22"/>
        </w:numPr>
        <w:rPr>
          <w:lang w:val="en-IE"/>
        </w:rPr>
      </w:pPr>
      <w:r w:rsidRPr="001F16D1">
        <w:rPr>
          <w:lang w:val="en-IE"/>
        </w:rPr>
        <w:t>such subcontract shall not require generation nor exchange of EU Classified Information</w:t>
      </w:r>
      <w:r>
        <w:rPr>
          <w:lang w:val="en-IE"/>
        </w:rPr>
        <w:t xml:space="preserve"> with the entity, or with the facility located outside of the EU territory</w:t>
      </w:r>
      <w:r w:rsidRPr="001F16D1">
        <w:rPr>
          <w:lang w:val="en-IE"/>
        </w:rPr>
        <w:t xml:space="preserve"> </w:t>
      </w:r>
    </w:p>
    <w:p w:rsidR="001F16D1" w:rsidP="001F16D1" w:rsidRDefault="001F16D1" w14:paraId="0B350960" w14:textId="63EAD3A7">
      <w:pPr>
        <w:pStyle w:val="ListParagraph"/>
        <w:numPr>
          <w:ilvl w:val="0"/>
          <w:numId w:val="22"/>
        </w:numPr>
        <w:rPr>
          <w:lang w:val="en-IE"/>
        </w:rPr>
      </w:pPr>
      <w:r w:rsidRPr="001F16D1">
        <w:rPr>
          <w:lang w:val="en-IE"/>
        </w:rPr>
        <w:t>assurance is provided regarding to the integrity and resilience of the EU SST operations and services, as confirmed by the competent authority of the member of the Partnership in charge of the subcontract.</w:t>
      </w:r>
      <w:r>
        <w:rPr>
          <w:lang w:val="en-IE"/>
        </w:rPr>
        <w:t xml:space="preserve"> The required assurance shall be identified </w:t>
      </w:r>
      <w:proofErr w:type="gramStart"/>
      <w:r>
        <w:rPr>
          <w:lang w:val="en-IE"/>
        </w:rPr>
        <w:t>in light of</w:t>
      </w:r>
      <w:proofErr w:type="gramEnd"/>
      <w:r>
        <w:rPr>
          <w:lang w:val="en-IE"/>
        </w:rPr>
        <w:t xml:space="preserve"> the draft General Security requirements and the associated Risk and Threat Analysis.</w:t>
      </w:r>
    </w:p>
    <w:p w:rsidRPr="000800F8" w:rsidR="000800F8" w:rsidP="000800F8" w:rsidRDefault="000800F8" w14:paraId="42C6A554" w14:textId="05A5242B">
      <w:pPr>
        <w:rPr>
          <w:lang w:val="en-IE"/>
        </w:rPr>
      </w:pPr>
      <w:r w:rsidRPr="000800F8">
        <w:rPr>
          <w:lang w:val="en-IE"/>
        </w:rPr>
        <w:t>The request for waiver shall be made before contract signature, and no contract shall be signed without confirmation by the European Commission that the waiver is granted. The outcome of the assessment shall be communicated to the requestor thereafter.</w:t>
      </w:r>
    </w:p>
    <w:p w:rsidRPr="00742D3B" w:rsidR="00742D3B" w:rsidP="00742D3B" w:rsidRDefault="001F16D1" w14:paraId="6B0C6506" w14:textId="3CDB37AB">
      <w:pPr>
        <w:ind w:left="360"/>
        <w:rPr>
          <w:u w:val="single"/>
          <w:lang w:val="en-IE" w:eastAsia="en-IE"/>
        </w:rPr>
      </w:pPr>
      <w:r w:rsidRPr="001F16D1">
        <w:rPr>
          <w:u w:val="single"/>
          <w:lang w:val="en-IE" w:eastAsia="en-IE"/>
        </w:rPr>
        <w:t xml:space="preserve">Waivers on criteria </w:t>
      </w:r>
      <w:r>
        <w:rPr>
          <w:u w:val="single"/>
          <w:lang w:val="en-IE" w:eastAsia="en-IE"/>
        </w:rPr>
        <w:t>c)</w:t>
      </w:r>
      <w:r w:rsidR="00743AB2">
        <w:rPr>
          <w:u w:val="single"/>
          <w:lang w:val="en-IE" w:eastAsia="en-IE"/>
        </w:rPr>
        <w:t xml:space="preserve"> – section 6</w:t>
      </w:r>
    </w:p>
    <w:p w:rsidRPr="000F0D4F" w:rsidR="00B57E89" w:rsidP="000F0D4F" w:rsidRDefault="00B57E89" w14:paraId="2357F59C" w14:textId="4E34BB0E">
      <w:pPr>
        <w:ind w:right="17"/>
        <w:jc w:val="both"/>
        <w:rPr>
          <w:lang w:val="en-IE"/>
        </w:rPr>
      </w:pPr>
      <w:r w:rsidRPr="000F0D4F">
        <w:rPr>
          <w:lang w:val="en-IE"/>
        </w:rPr>
        <w:t>P</w:t>
      </w:r>
      <w:r w:rsidRPr="000F0D4F" w:rsidR="00783C0B">
        <w:rPr>
          <w:lang w:val="en-IE"/>
        </w:rPr>
        <w:t xml:space="preserve">articipation may still be possible when an entity </w:t>
      </w:r>
      <w:r w:rsidRPr="000F0D4F" w:rsidR="00371E1C">
        <w:rPr>
          <w:lang w:val="en-IE"/>
        </w:rPr>
        <w:t>has self-declared or has been</w:t>
      </w:r>
      <w:r w:rsidRPr="000F0D4F" w:rsidR="00783C0B">
        <w:rPr>
          <w:lang w:val="en-IE"/>
        </w:rPr>
        <w:t xml:space="preserve"> assessed as being “</w:t>
      </w:r>
      <w:r w:rsidRPr="000F0D4F" w:rsidR="00371E1C">
        <w:rPr>
          <w:lang w:val="en-IE"/>
        </w:rPr>
        <w:t xml:space="preserve">non-EU </w:t>
      </w:r>
      <w:r w:rsidRPr="000F0D4F" w:rsidR="00783C0B">
        <w:rPr>
          <w:lang w:val="en-IE"/>
        </w:rPr>
        <w:t>controlled”</w:t>
      </w:r>
      <w:r w:rsidRPr="000F0D4F" w:rsidR="00371E1C">
        <w:rPr>
          <w:lang w:val="en-IE"/>
        </w:rPr>
        <w:t>, including</w:t>
      </w:r>
      <w:r w:rsidRPr="000F0D4F" w:rsidR="00783C0B">
        <w:rPr>
          <w:lang w:val="en-IE"/>
        </w:rPr>
        <w:t xml:space="preserve"> for participants that are subject to control by a third country/third country entity. </w:t>
      </w:r>
      <w:r w:rsidRPr="000F0D4F" w:rsidR="00371E1C">
        <w:rPr>
          <w:lang w:val="en-IE"/>
        </w:rPr>
        <w:t>In this case, t</w:t>
      </w:r>
      <w:r w:rsidRPr="000F0D4F" w:rsidR="00783C0B">
        <w:rPr>
          <w:lang w:val="en-IE"/>
        </w:rPr>
        <w:t xml:space="preserve">he entity </w:t>
      </w:r>
      <w:r w:rsidRPr="000F0D4F" w:rsidR="00371E1C">
        <w:rPr>
          <w:lang w:val="en-IE"/>
        </w:rPr>
        <w:t xml:space="preserve">concerned </w:t>
      </w:r>
      <w:r w:rsidRPr="000F0D4F" w:rsidR="00783C0B">
        <w:rPr>
          <w:lang w:val="en-IE"/>
        </w:rPr>
        <w:t xml:space="preserve">shall </w:t>
      </w:r>
      <w:r w:rsidRPr="000F0D4F" w:rsidR="00371E1C">
        <w:rPr>
          <w:lang w:val="en-IE"/>
        </w:rPr>
        <w:t>submit a</w:t>
      </w:r>
      <w:r w:rsidRPr="000F0D4F" w:rsidR="00783C0B">
        <w:rPr>
          <w:lang w:val="en-IE"/>
        </w:rPr>
        <w:t xml:space="preserve"> request for waiver </w:t>
      </w:r>
      <w:r w:rsidRPr="000F0D4F" w:rsidR="00371E1C">
        <w:rPr>
          <w:lang w:val="en-IE"/>
        </w:rPr>
        <w:t xml:space="preserve">together with </w:t>
      </w:r>
      <w:r w:rsidRPr="000F0D4F" w:rsidR="00783C0B">
        <w:rPr>
          <w:lang w:val="en-IE"/>
        </w:rPr>
        <w:t xml:space="preserve">guarantees </w:t>
      </w:r>
      <w:r w:rsidRPr="000F0D4F" w:rsidR="00371E1C">
        <w:rPr>
          <w:lang w:val="en-IE"/>
        </w:rPr>
        <w:t xml:space="preserve">in line with </w:t>
      </w:r>
      <w:r w:rsidRPr="000F0D4F">
        <w:rPr>
          <w:lang w:val="en-IE"/>
        </w:rPr>
        <w:t xml:space="preserve">the following </w:t>
      </w:r>
      <w:r w:rsidRPr="000F0D4F" w:rsidR="00F94DC0">
        <w:rPr>
          <w:lang w:val="en-IE"/>
        </w:rPr>
        <w:t>requirements:</w:t>
      </w:r>
    </w:p>
    <w:p w:rsidRPr="000F0D4F" w:rsidR="000F0D4F" w:rsidP="000F0D4F" w:rsidRDefault="000F0D4F" w14:paraId="6E45E391" w14:textId="424F28D4">
      <w:pPr>
        <w:pStyle w:val="ListParagraph"/>
        <w:numPr>
          <w:ilvl w:val="0"/>
          <w:numId w:val="25"/>
        </w:numPr>
        <w:ind w:right="17"/>
        <w:jc w:val="both"/>
        <w:rPr>
          <w:lang w:val="en-IE"/>
        </w:rPr>
      </w:pPr>
      <w:r w:rsidRPr="000F0D4F">
        <w:rPr>
          <w:lang w:val="en-IE"/>
        </w:rPr>
        <w:t xml:space="preserve">control over the entity is not exercised in a manner that restrains or restricts its ability to: </w:t>
      </w:r>
    </w:p>
    <w:p w:rsidRPr="000F0D4F" w:rsidR="000F0D4F" w:rsidP="000F0D4F" w:rsidRDefault="000F0D4F" w14:paraId="33B54160" w14:textId="57F8E226">
      <w:pPr>
        <w:pStyle w:val="ListParagraph"/>
        <w:numPr>
          <w:ilvl w:val="0"/>
          <w:numId w:val="23"/>
        </w:numPr>
        <w:ind w:right="17"/>
        <w:jc w:val="both"/>
        <w:rPr>
          <w:lang w:val="en-IE"/>
        </w:rPr>
      </w:pPr>
      <w:r w:rsidRPr="000F0D4F">
        <w:rPr>
          <w:lang w:val="en-IE"/>
        </w:rPr>
        <w:t xml:space="preserve">carry out the activities subject to the </w:t>
      </w:r>
      <w:r w:rsidRPr="000F0D4F" w:rsidR="00F94DC0">
        <w:rPr>
          <w:lang w:val="en-IE"/>
        </w:rPr>
        <w:t>subcontract.</w:t>
      </w:r>
      <w:r w:rsidRPr="000F0D4F">
        <w:rPr>
          <w:lang w:val="en-IE"/>
        </w:rPr>
        <w:t xml:space="preserve"> </w:t>
      </w:r>
    </w:p>
    <w:p w:rsidR="000F0D4F" w:rsidP="000F0D4F" w:rsidRDefault="000F0D4F" w14:paraId="63E8579F" w14:textId="0208B263">
      <w:pPr>
        <w:pStyle w:val="ListParagraph"/>
        <w:numPr>
          <w:ilvl w:val="0"/>
          <w:numId w:val="23"/>
        </w:numPr>
        <w:ind w:right="17"/>
        <w:jc w:val="both"/>
        <w:rPr>
          <w:lang w:val="en-IE"/>
        </w:rPr>
      </w:pPr>
      <w:r w:rsidRPr="000F0D4F">
        <w:rPr>
          <w:lang w:val="en-IE"/>
        </w:rPr>
        <w:t xml:space="preserve"> deliver results, </w:t>
      </w:r>
      <w:proofErr w:type="gramStart"/>
      <w:r w:rsidRPr="000F0D4F">
        <w:rPr>
          <w:lang w:val="en-IE"/>
        </w:rPr>
        <w:t>in particular through</w:t>
      </w:r>
      <w:proofErr w:type="gramEnd"/>
      <w:r w:rsidRPr="000F0D4F">
        <w:rPr>
          <w:lang w:val="en-IE"/>
        </w:rPr>
        <w:t xml:space="preserve"> reporting </w:t>
      </w:r>
      <w:r w:rsidRPr="000F0D4F" w:rsidR="00F94DC0">
        <w:rPr>
          <w:lang w:val="en-IE"/>
        </w:rPr>
        <w:t>obligations.</w:t>
      </w:r>
    </w:p>
    <w:p w:rsidRPr="000F0D4F" w:rsidR="000F0D4F" w:rsidP="000F0D4F" w:rsidRDefault="000F0D4F" w14:paraId="008C7444" w14:textId="5AC6BDD7">
      <w:pPr>
        <w:pStyle w:val="ListParagraph"/>
        <w:numPr>
          <w:ilvl w:val="0"/>
          <w:numId w:val="25"/>
        </w:numPr>
        <w:ind w:right="17"/>
        <w:jc w:val="both"/>
        <w:rPr>
          <w:lang w:val="en-IE"/>
        </w:rPr>
      </w:pPr>
      <w:r w:rsidRPr="000F0D4F">
        <w:rPr>
          <w:lang w:val="en-IE"/>
        </w:rPr>
        <w:t xml:space="preserve">the controlling third country or third country entity commits to refrain from exercising any controlling rights over or imposing reporting obligations on the entity in relation to the </w:t>
      </w:r>
      <w:r w:rsidRPr="000F0D4F" w:rsidR="00F94DC0">
        <w:rPr>
          <w:lang w:val="en-IE"/>
        </w:rPr>
        <w:t>subcontract.</w:t>
      </w:r>
      <w:r w:rsidRPr="000F0D4F">
        <w:rPr>
          <w:lang w:val="en-IE"/>
        </w:rPr>
        <w:t xml:space="preserve"> </w:t>
      </w:r>
    </w:p>
    <w:p w:rsidR="000F0D4F" w:rsidP="000F0D4F" w:rsidRDefault="000F0D4F" w14:paraId="7A32CFD1" w14:textId="77777777">
      <w:pPr>
        <w:pStyle w:val="ListParagraph"/>
        <w:numPr>
          <w:ilvl w:val="0"/>
          <w:numId w:val="25"/>
        </w:numPr>
        <w:ind w:right="17"/>
        <w:jc w:val="both"/>
        <w:rPr>
          <w:lang w:val="en-IE"/>
        </w:rPr>
      </w:pPr>
      <w:r w:rsidRPr="000F0D4F">
        <w:rPr>
          <w:lang w:val="en-IE"/>
        </w:rPr>
        <w:t xml:space="preserve">the entity in question has taken all the necessary measures to ensure: </w:t>
      </w:r>
    </w:p>
    <w:p w:rsidR="000F0D4F" w:rsidP="000F0D4F" w:rsidRDefault="000F0D4F" w14:paraId="252ABA1D" w14:textId="73329FCE">
      <w:pPr>
        <w:pStyle w:val="ListParagraph"/>
        <w:numPr>
          <w:ilvl w:val="0"/>
          <w:numId w:val="26"/>
        </w:numPr>
        <w:ind w:right="17"/>
        <w:jc w:val="both"/>
        <w:rPr>
          <w:lang w:val="en-IE"/>
        </w:rPr>
      </w:pPr>
      <w:r w:rsidRPr="000F0D4F">
        <w:rPr>
          <w:lang w:val="en-IE"/>
        </w:rPr>
        <w:t xml:space="preserve">the security of EU SST </w:t>
      </w:r>
      <w:proofErr w:type="gramStart"/>
      <w:r w:rsidRPr="000F0D4F">
        <w:rPr>
          <w:lang w:val="en-IE"/>
        </w:rPr>
        <w:t>in light of</w:t>
      </w:r>
      <w:proofErr w:type="gramEnd"/>
      <w:r w:rsidRPr="000F0D4F">
        <w:rPr>
          <w:lang w:val="en-IE"/>
        </w:rPr>
        <w:t xml:space="preserve"> the confidentiality of the sensitive information, and in particular, if the subcontract involves classified information, information defined as EU Classified Information </w:t>
      </w:r>
    </w:p>
    <w:p w:rsidRPr="000F0D4F" w:rsidR="000F0D4F" w:rsidP="000F0D4F" w:rsidRDefault="000F0D4F" w14:paraId="3BE3C725" w14:textId="1328B952">
      <w:pPr>
        <w:pStyle w:val="ListParagraph"/>
        <w:numPr>
          <w:ilvl w:val="0"/>
          <w:numId w:val="26"/>
        </w:numPr>
        <w:ind w:right="17"/>
        <w:jc w:val="both"/>
        <w:rPr>
          <w:lang w:val="en-IE"/>
        </w:rPr>
      </w:pPr>
      <w:r w:rsidRPr="000F0D4F">
        <w:rPr>
          <w:lang w:val="en-IE"/>
        </w:rPr>
        <w:t>the robustness of the mechanisms put in place to comply with points a) and b).</w:t>
      </w:r>
    </w:p>
    <w:p w:rsidRPr="00CC6AE3" w:rsidR="00783C0B" w:rsidP="00742D3B" w:rsidRDefault="00371E1C" w14:paraId="03F8958A" w14:textId="15501A69">
      <w:pPr>
        <w:ind w:left="144" w:right="17"/>
        <w:jc w:val="both"/>
        <w:rPr>
          <w:lang w:val="en-IE"/>
        </w:rPr>
      </w:pPr>
      <w:r>
        <w:rPr>
          <w:lang w:val="en-IE"/>
        </w:rPr>
        <w:lastRenderedPageBreak/>
        <w:t xml:space="preserve"> The guarantees must</w:t>
      </w:r>
      <w:r w:rsidRPr="00CC6AE3" w:rsidR="00783C0B">
        <w:rPr>
          <w:lang w:val="en-IE"/>
        </w:rPr>
        <w:t xml:space="preserve"> explain the concrete measures put in place to ensure compliance. The guarantees must be </w:t>
      </w:r>
      <w:r>
        <w:rPr>
          <w:lang w:val="en-IE"/>
        </w:rPr>
        <w:t>assessed and signed by the competent Member State authorities in which the entity is established</w:t>
      </w:r>
      <w:r w:rsidR="00742D3B">
        <w:rPr>
          <w:lang w:val="en-IE"/>
        </w:rPr>
        <w:t xml:space="preserve">. </w:t>
      </w:r>
      <w:r w:rsidRPr="00CC6AE3" w:rsidR="00783C0B">
        <w:rPr>
          <w:lang w:val="en-IE"/>
        </w:rPr>
        <w:t xml:space="preserve">Since the </w:t>
      </w:r>
      <w:r w:rsidR="004A1F35">
        <w:rPr>
          <w:lang w:val="en-IE"/>
        </w:rPr>
        <w:t>waiver</w:t>
      </w:r>
      <w:r w:rsidRPr="00CC6AE3" w:rsidR="00783C0B">
        <w:rPr>
          <w:lang w:val="en-IE"/>
        </w:rPr>
        <w:t xml:space="preserve"> procedure constitutes a derogation, the conditions will be interpreted strictly. Guarantees/approvals which include a disclaimer will be rejected.  </w:t>
      </w:r>
    </w:p>
    <w:p w:rsidRPr="00CC6AE3" w:rsidR="00783C0B" w:rsidP="00783C0B" w:rsidRDefault="00783C0B" w14:paraId="728D7E69" w14:textId="7C409CFB">
      <w:pPr>
        <w:spacing w:after="140"/>
        <w:ind w:left="144" w:right="17"/>
        <w:jc w:val="both"/>
        <w:rPr>
          <w:lang w:val="en-IE"/>
        </w:rPr>
      </w:pPr>
      <w:r w:rsidRPr="00CC6AE3">
        <w:rPr>
          <w:lang w:val="en-IE"/>
        </w:rPr>
        <w:t xml:space="preserve">If the guarantee/approval is not complete or inadequate, </w:t>
      </w:r>
      <w:r w:rsidR="004A1F35">
        <w:rPr>
          <w:lang w:val="en-IE"/>
        </w:rPr>
        <w:t>the participant</w:t>
      </w:r>
      <w:r w:rsidRPr="00CC6AE3">
        <w:rPr>
          <w:lang w:val="en-IE"/>
        </w:rPr>
        <w:t xml:space="preserve"> may be contacted for changes or updates. </w:t>
      </w:r>
    </w:p>
    <w:p w:rsidRPr="00CC6AE3" w:rsidR="00783C0B" w:rsidP="00783C0B" w:rsidRDefault="00783C0B" w14:paraId="39377396" w14:textId="156DB94D">
      <w:pPr>
        <w:ind w:left="144" w:right="17"/>
        <w:jc w:val="both"/>
        <w:rPr>
          <w:lang w:val="en-IE"/>
        </w:rPr>
      </w:pPr>
      <w:r>
        <w:rPr>
          <w:noProof/>
          <w:lang w:val="en-US"/>
        </w:rPr>
        <w:drawing>
          <wp:inline distT="0" distB="0" distL="0" distR="0" wp14:anchorId="262E5715" wp14:editId="5ACF93B9">
            <wp:extent cx="168275" cy="168275"/>
            <wp:effectExtent l="0" t="0" r="0" b="0"/>
            <wp:docPr id="2523" name="Picture 2523"/>
            <wp:cNvGraphicFramePr/>
            <a:graphic xmlns:a="http://schemas.openxmlformats.org/drawingml/2006/main">
              <a:graphicData uri="http://schemas.openxmlformats.org/drawingml/2006/picture">
                <pic:pic xmlns:pic="http://schemas.openxmlformats.org/drawingml/2006/picture">
                  <pic:nvPicPr>
                    <pic:cNvPr id="2523" name="Picture 2523"/>
                    <pic:cNvPicPr/>
                  </pic:nvPicPr>
                  <pic:blipFill>
                    <a:blip r:embed="rId9"/>
                    <a:stretch>
                      <a:fillRect/>
                    </a:stretch>
                  </pic:blipFill>
                  <pic:spPr>
                    <a:xfrm>
                      <a:off x="0" y="0"/>
                      <a:ext cx="168275" cy="168275"/>
                    </a:xfrm>
                    <a:prstGeom prst="rect">
                      <a:avLst/>
                    </a:prstGeom>
                  </pic:spPr>
                </pic:pic>
              </a:graphicData>
            </a:graphic>
          </wp:inline>
        </w:drawing>
      </w:r>
      <w:r w:rsidRPr="00CC6AE3">
        <w:rPr>
          <w:lang w:val="en-IE"/>
        </w:rPr>
        <w:t xml:space="preserve"> The measures set out in the guarantees must be </w:t>
      </w:r>
      <w:r w:rsidR="004A1F35">
        <w:rPr>
          <w:lang w:val="en-IE"/>
        </w:rPr>
        <w:t xml:space="preserve">valid and </w:t>
      </w:r>
      <w:r w:rsidRPr="00CC6AE3">
        <w:rPr>
          <w:lang w:val="en-IE"/>
        </w:rPr>
        <w:t xml:space="preserve">complied with/implemented during the </w:t>
      </w:r>
      <w:r w:rsidR="004A1F35">
        <w:rPr>
          <w:lang w:val="en-IE"/>
        </w:rPr>
        <w:t>entire Contract execution</w:t>
      </w:r>
      <w:r w:rsidRPr="00CC6AE3">
        <w:rPr>
          <w:lang w:val="en-IE"/>
        </w:rPr>
        <w:t xml:space="preserve">, otherwise the guarantee will be considered </w:t>
      </w:r>
      <w:r w:rsidRPr="00CC6AE3" w:rsidR="00F94DC0">
        <w:rPr>
          <w:lang w:val="en-IE"/>
        </w:rPr>
        <w:t>void,</w:t>
      </w:r>
      <w:r w:rsidRPr="00CC6AE3">
        <w:rPr>
          <w:lang w:val="en-IE"/>
        </w:rPr>
        <w:t xml:space="preserve"> and the </w:t>
      </w:r>
      <w:r w:rsidR="004A1F35">
        <w:rPr>
          <w:lang w:val="en-IE"/>
        </w:rPr>
        <w:t>participation of the relevant entity</w:t>
      </w:r>
      <w:r w:rsidRPr="00CC6AE3">
        <w:rPr>
          <w:lang w:val="en-IE"/>
        </w:rPr>
        <w:t xml:space="preserve"> might be declared ineligible.  </w:t>
      </w:r>
    </w:p>
    <w:p w:rsidR="00783C0B" w:rsidP="00783C0B" w:rsidRDefault="00783C0B" w14:paraId="1F5A1BA2" w14:textId="77777777">
      <w:pPr>
        <w:pStyle w:val="Heading2"/>
        <w:ind w:left="144" w:right="14"/>
      </w:pPr>
      <w:r>
        <w:t xml:space="preserve">New participants joining during the contract. </w:t>
      </w:r>
    </w:p>
    <w:p w:rsidR="00783C0B" w:rsidP="00783C0B" w:rsidRDefault="00783C0B" w14:paraId="5EE2DD08" w14:textId="723DC639">
      <w:pPr>
        <w:ind w:left="144" w:right="17"/>
        <w:jc w:val="both"/>
        <w:rPr>
          <w:lang w:val="en-IE"/>
        </w:rPr>
      </w:pPr>
      <w:r w:rsidRPr="00CC6AE3">
        <w:rPr>
          <w:lang w:val="en-IE"/>
        </w:rPr>
        <w:t xml:space="preserve">New </w:t>
      </w:r>
      <w:r w:rsidR="004A1F35">
        <w:rPr>
          <w:lang w:val="en-IE"/>
        </w:rPr>
        <w:t xml:space="preserve">entities, including </w:t>
      </w:r>
      <w:r>
        <w:rPr>
          <w:lang w:val="en-IE"/>
        </w:rPr>
        <w:t>subcontractors</w:t>
      </w:r>
      <w:r w:rsidRPr="00CC6AE3">
        <w:rPr>
          <w:lang w:val="en-IE"/>
        </w:rPr>
        <w:t xml:space="preserve"> join</w:t>
      </w:r>
      <w:r w:rsidR="004A1F35">
        <w:rPr>
          <w:lang w:val="en-IE"/>
        </w:rPr>
        <w:t>ing</w:t>
      </w:r>
      <w:r w:rsidRPr="00CC6AE3">
        <w:rPr>
          <w:lang w:val="en-IE"/>
        </w:rPr>
        <w:t xml:space="preserve"> the project </w:t>
      </w:r>
      <w:proofErr w:type="gramStart"/>
      <w:r w:rsidRPr="00CC6AE3">
        <w:rPr>
          <w:lang w:val="en-IE"/>
        </w:rPr>
        <w:t>later on</w:t>
      </w:r>
      <w:proofErr w:type="gramEnd"/>
      <w:r w:rsidRPr="00CC6AE3">
        <w:rPr>
          <w:lang w:val="en-IE"/>
        </w:rPr>
        <w:t xml:space="preserve">, will have to </w:t>
      </w:r>
      <w:r w:rsidR="00D93798">
        <w:rPr>
          <w:lang w:val="en-IE"/>
        </w:rPr>
        <w:t xml:space="preserve">complete Annex </w:t>
      </w:r>
      <w:r w:rsidR="000F0D4F">
        <w:rPr>
          <w:lang w:val="en-IE"/>
        </w:rPr>
        <w:t>PC</w:t>
      </w:r>
      <w:r w:rsidR="00D93798">
        <w:rPr>
          <w:lang w:val="en-IE"/>
        </w:rPr>
        <w:t xml:space="preserve"> on Eligibility and Participation Conditions and </w:t>
      </w:r>
      <w:r w:rsidRPr="00CC6AE3">
        <w:rPr>
          <w:lang w:val="en-IE"/>
        </w:rPr>
        <w:t>submit the</w:t>
      </w:r>
      <w:r w:rsidR="00D93798">
        <w:rPr>
          <w:lang w:val="en-IE"/>
        </w:rPr>
        <w:t xml:space="preserve"> relevant </w:t>
      </w:r>
      <w:r w:rsidRPr="00CC6AE3">
        <w:rPr>
          <w:lang w:val="en-IE"/>
        </w:rPr>
        <w:t>supporting documents</w:t>
      </w:r>
      <w:r w:rsidR="00D93798">
        <w:rPr>
          <w:lang w:val="en-IE"/>
        </w:rPr>
        <w:t>. T</w:t>
      </w:r>
      <w:r w:rsidRPr="00CC6AE3">
        <w:rPr>
          <w:lang w:val="en-IE"/>
        </w:rPr>
        <w:t xml:space="preserve">he same rules as above apply </w:t>
      </w:r>
      <w:r w:rsidRPr="00A02558">
        <w:rPr>
          <w:lang w:val="en-IE"/>
        </w:rPr>
        <w:t>mutatis mutandis</w:t>
      </w:r>
      <w:r w:rsidRPr="00CC6AE3">
        <w:rPr>
          <w:lang w:val="en-IE"/>
        </w:rPr>
        <w:t xml:space="preserve">.  </w:t>
      </w:r>
    </w:p>
    <w:p w:rsidR="00743AB2" w:rsidP="00783C0B" w:rsidRDefault="00743AB2" w14:paraId="46EA783C" w14:textId="5C627358">
      <w:pPr>
        <w:ind w:left="144" w:right="17"/>
        <w:jc w:val="both"/>
        <w:rPr>
          <w:u w:val="single"/>
          <w:lang w:val="en-IE"/>
        </w:rPr>
      </w:pPr>
      <w:r w:rsidRPr="007D17DD">
        <w:rPr>
          <w:u w:val="single"/>
          <w:lang w:val="en-IE"/>
        </w:rPr>
        <w:t>Request for waiver signature</w:t>
      </w:r>
      <w:r>
        <w:rPr>
          <w:u w:val="single"/>
          <w:lang w:val="en-IE"/>
        </w:rPr>
        <w:t xml:space="preserve"> (section 7 and 8)</w:t>
      </w:r>
    </w:p>
    <w:p w:rsidRPr="00743AB2" w:rsidR="00743AB2" w:rsidP="00783C0B" w:rsidRDefault="00743AB2" w14:paraId="47EFCC76" w14:textId="7231AD9A">
      <w:pPr>
        <w:ind w:left="144" w:right="17"/>
        <w:jc w:val="both"/>
        <w:rPr>
          <w:lang w:val="en-IE"/>
        </w:rPr>
      </w:pPr>
      <w:r w:rsidRPr="007D17DD">
        <w:rPr>
          <w:lang w:val="en-IE"/>
        </w:rPr>
        <w:t>The request</w:t>
      </w:r>
      <w:r>
        <w:rPr>
          <w:lang w:val="en-IE"/>
        </w:rPr>
        <w:t xml:space="preserve"> for waiver shall </w:t>
      </w:r>
      <w:r w:rsidRPr="00727EE1" w:rsidR="007D17DD">
        <w:rPr>
          <w:rFonts w:ascii="Calibri" w:hAnsi="Calibri" w:eastAsia="Calibri" w:cs="Calibri"/>
          <w:b/>
          <w:lang w:val="en-IE"/>
        </w:rPr>
        <w:t xml:space="preserve">be signed by a legally appointed representative </w:t>
      </w:r>
      <w:r w:rsidRPr="00727EE1" w:rsidR="007D17DD">
        <w:rPr>
          <w:rFonts w:ascii="Calibri" w:hAnsi="Calibri" w:eastAsia="Calibri" w:cs="Calibri"/>
          <w:b/>
          <w:u w:val="single" w:color="000000"/>
          <w:lang w:val="en-IE"/>
        </w:rPr>
        <w:t>with powers to</w:t>
      </w:r>
      <w:r w:rsidRPr="00727EE1" w:rsidR="007D17DD">
        <w:rPr>
          <w:rFonts w:ascii="Calibri" w:hAnsi="Calibri" w:eastAsia="Calibri" w:cs="Calibri"/>
          <w:b/>
          <w:lang w:val="en-IE"/>
        </w:rPr>
        <w:t xml:space="preserve"> </w:t>
      </w:r>
      <w:r w:rsidRPr="00727EE1" w:rsidR="007D17DD">
        <w:rPr>
          <w:rFonts w:ascii="Calibri" w:hAnsi="Calibri" w:eastAsia="Calibri" w:cs="Calibri"/>
          <w:b/>
          <w:u w:val="single" w:color="000000"/>
          <w:lang w:val="en-IE"/>
        </w:rPr>
        <w:t>represent the company</w:t>
      </w:r>
      <w:r w:rsidR="007D17DD">
        <w:rPr>
          <w:rFonts w:ascii="Calibri" w:hAnsi="Calibri" w:eastAsia="Calibri" w:cs="Calibri"/>
          <w:b/>
          <w:lang w:val="en-IE"/>
        </w:rPr>
        <w:t xml:space="preserve"> (section 7), and the relevant </w:t>
      </w:r>
      <w:r w:rsidRPr="007D17DD" w:rsidR="007D17DD">
        <w:rPr>
          <w:b/>
          <w:bCs/>
          <w:lang w:val="en-IE"/>
        </w:rPr>
        <w:t>competent authority</w:t>
      </w:r>
      <w:r w:rsidR="008E5C1F">
        <w:rPr>
          <w:b/>
          <w:bCs/>
          <w:lang w:val="en-IE"/>
        </w:rPr>
        <w:t xml:space="preserve"> for the waiver requested (section 8)</w:t>
      </w:r>
    </w:p>
    <w:p w:rsidRPr="00CC6AE3" w:rsidR="00743AB2" w:rsidP="00783C0B" w:rsidRDefault="00743AB2" w14:paraId="28E8FE1D" w14:textId="77777777">
      <w:pPr>
        <w:ind w:left="144" w:right="17"/>
        <w:jc w:val="both"/>
        <w:rPr>
          <w:lang w:val="en-IE"/>
        </w:rPr>
      </w:pPr>
    </w:p>
    <w:p w:rsidR="00783C0B" w:rsidP="00783C0B" w:rsidRDefault="00783C0B" w14:paraId="40466B2D" w14:textId="04B014D1">
      <w:pPr>
        <w:pStyle w:val="Heading1"/>
        <w:spacing w:after="189" w:line="251" w:lineRule="auto"/>
        <w:ind w:left="499" w:hanging="365"/>
        <w:jc w:val="both"/>
      </w:pPr>
      <w:bookmarkStart w:name="_Toc128559540" w:id="3"/>
      <w:r>
        <w:rPr>
          <w:b/>
        </w:rPr>
        <w:t>What happens if the ownership control status changes during contract execution</w:t>
      </w:r>
      <w:bookmarkEnd w:id="3"/>
      <w:r w:rsidR="00D93798">
        <w:rPr>
          <w:b/>
        </w:rPr>
        <w:t>?</w:t>
      </w:r>
    </w:p>
    <w:p w:rsidRPr="00CC6AE3" w:rsidR="00783C0B" w:rsidP="00783C0B" w:rsidRDefault="00783C0B" w14:paraId="688A6D12" w14:textId="346B30C3">
      <w:pPr>
        <w:ind w:left="144" w:right="17"/>
        <w:jc w:val="both"/>
        <w:rPr>
          <w:lang w:val="en-IE"/>
        </w:rPr>
      </w:pPr>
      <w:r w:rsidRPr="00CC6AE3">
        <w:rPr>
          <w:lang w:val="en-IE"/>
        </w:rPr>
        <w:t xml:space="preserve">Eligibility </w:t>
      </w:r>
      <w:r w:rsidR="00D93798">
        <w:rPr>
          <w:lang w:val="en-IE"/>
        </w:rPr>
        <w:t xml:space="preserve">and participation </w:t>
      </w:r>
      <w:r w:rsidRPr="00CC6AE3">
        <w:rPr>
          <w:lang w:val="en-IE"/>
        </w:rPr>
        <w:t xml:space="preserve">conditions must be fulfilled not only at </w:t>
      </w:r>
      <w:r w:rsidR="00D93798">
        <w:rPr>
          <w:lang w:val="en-IE"/>
        </w:rPr>
        <w:t>the</w:t>
      </w:r>
      <w:r w:rsidRPr="00CC6AE3">
        <w:rPr>
          <w:lang w:val="en-IE"/>
        </w:rPr>
        <w:t xml:space="preserve"> submission</w:t>
      </w:r>
      <w:r w:rsidR="00D93798">
        <w:rPr>
          <w:lang w:val="en-IE"/>
        </w:rPr>
        <w:t xml:space="preserve"> of Request to Participate/Proposal</w:t>
      </w:r>
      <w:r w:rsidRPr="00CC6AE3">
        <w:rPr>
          <w:lang w:val="en-IE"/>
        </w:rPr>
        <w:t xml:space="preserve"> and </w:t>
      </w:r>
      <w:r w:rsidR="00D93798">
        <w:rPr>
          <w:lang w:val="en-IE"/>
        </w:rPr>
        <w:t>Contract</w:t>
      </w:r>
      <w:r w:rsidRPr="00CC6AE3">
        <w:rPr>
          <w:lang w:val="en-IE"/>
        </w:rPr>
        <w:t xml:space="preserve"> signature, but throughout the entire duration</w:t>
      </w:r>
      <w:r w:rsidR="00D93798">
        <w:rPr>
          <w:lang w:val="en-IE"/>
        </w:rPr>
        <w:t xml:space="preserve"> of the Contract execution</w:t>
      </w:r>
      <w:r w:rsidRPr="00CC6AE3">
        <w:rPr>
          <w:lang w:val="en-IE"/>
        </w:rPr>
        <w:t xml:space="preserve">.  </w:t>
      </w:r>
    </w:p>
    <w:p w:rsidRPr="00CC6AE3" w:rsidR="00783C0B" w:rsidP="00783C0B" w:rsidRDefault="00D93798" w14:paraId="21872F92" w14:textId="0E554C83">
      <w:pPr>
        <w:ind w:left="144" w:right="17"/>
        <w:jc w:val="both"/>
        <w:rPr>
          <w:lang w:val="en-IE"/>
        </w:rPr>
      </w:pPr>
      <w:r>
        <w:rPr>
          <w:lang w:val="en-IE"/>
        </w:rPr>
        <w:t>Participants</w:t>
      </w:r>
      <w:r w:rsidRPr="00CC6AE3" w:rsidR="00783C0B">
        <w:rPr>
          <w:lang w:val="en-IE"/>
        </w:rPr>
        <w:t xml:space="preserve"> </w:t>
      </w:r>
      <w:r>
        <w:rPr>
          <w:lang w:val="en-IE"/>
        </w:rPr>
        <w:t>will be</w:t>
      </w:r>
      <w:r w:rsidRPr="00CC6AE3" w:rsidR="00783C0B">
        <w:rPr>
          <w:lang w:val="en-IE"/>
        </w:rPr>
        <w:t xml:space="preserve"> contractually obliged to notify any changes in the control/ownership status that occur during the project. Such changes must be immediately notified by the </w:t>
      </w:r>
      <w:r>
        <w:rPr>
          <w:lang w:val="en-IE"/>
        </w:rPr>
        <w:t>Prime Contractor</w:t>
      </w:r>
      <w:r w:rsidRPr="00CC6AE3" w:rsidR="00783C0B">
        <w:rPr>
          <w:lang w:val="en-IE"/>
        </w:rPr>
        <w:t xml:space="preserve"> to the </w:t>
      </w:r>
      <w:r>
        <w:rPr>
          <w:lang w:val="en-IE"/>
        </w:rPr>
        <w:t>contracting</w:t>
      </w:r>
      <w:r w:rsidRPr="00CC6AE3" w:rsidR="00783C0B">
        <w:rPr>
          <w:lang w:val="en-IE"/>
        </w:rPr>
        <w:t xml:space="preserve"> authority The same applies to changes affecting the content of guarantees</w:t>
      </w:r>
      <w:r w:rsidR="00783C0B">
        <w:rPr>
          <w:lang w:val="en-IE"/>
        </w:rPr>
        <w:t>.</w:t>
      </w:r>
      <w:r w:rsidRPr="00CC6AE3" w:rsidR="00783C0B">
        <w:rPr>
          <w:lang w:val="en-IE"/>
        </w:rPr>
        <w:t xml:space="preserve"> </w:t>
      </w:r>
    </w:p>
    <w:p w:rsidRPr="00CC6AE3" w:rsidR="00783C0B" w:rsidP="00783C0B" w:rsidRDefault="00783C0B" w14:paraId="5A38BA52" w14:textId="2D6A6A6F">
      <w:pPr>
        <w:ind w:left="144" w:right="17"/>
        <w:jc w:val="both"/>
        <w:rPr>
          <w:lang w:val="en-IE"/>
        </w:rPr>
      </w:pPr>
      <w:r w:rsidRPr="00CC6AE3">
        <w:rPr>
          <w:lang w:val="en-IE"/>
        </w:rPr>
        <w:t>If a</w:t>
      </w:r>
      <w:r w:rsidR="00D93798">
        <w:rPr>
          <w:lang w:val="en-IE"/>
        </w:rPr>
        <w:t>n entity</w:t>
      </w:r>
      <w:r w:rsidRPr="00CC6AE3">
        <w:rPr>
          <w:lang w:val="en-IE"/>
        </w:rPr>
        <w:t xml:space="preserve"> becomes controlled by a </w:t>
      </w:r>
      <w:r>
        <w:rPr>
          <w:lang w:val="en-IE"/>
        </w:rPr>
        <w:t>third</w:t>
      </w:r>
      <w:r w:rsidRPr="00CC6AE3">
        <w:rPr>
          <w:lang w:val="en-IE"/>
        </w:rPr>
        <w:t xml:space="preserve"> country/</w:t>
      </w:r>
      <w:r>
        <w:rPr>
          <w:lang w:val="en-IE"/>
        </w:rPr>
        <w:t>third</w:t>
      </w:r>
      <w:r w:rsidRPr="00CC6AE3">
        <w:rPr>
          <w:lang w:val="en-IE"/>
        </w:rPr>
        <w:t xml:space="preserve"> country entity during the </w:t>
      </w:r>
      <w:r>
        <w:rPr>
          <w:lang w:val="en-IE"/>
        </w:rPr>
        <w:t>contract execution</w:t>
      </w:r>
      <w:r w:rsidRPr="00CC6AE3">
        <w:rPr>
          <w:lang w:val="en-IE"/>
        </w:rPr>
        <w:t xml:space="preserve"> </w:t>
      </w:r>
      <w:r w:rsidRPr="00562BD4">
        <w:rPr>
          <w:lang w:val="en-IE"/>
        </w:rPr>
        <w:t>(</w:t>
      </w:r>
      <w:r w:rsidRPr="00562BD4" w:rsidR="00F94DC0">
        <w:rPr>
          <w:lang w:val="en-IE"/>
        </w:rPr>
        <w:t>e.g.,</w:t>
      </w:r>
      <w:r w:rsidRPr="00562BD4">
        <w:rPr>
          <w:lang w:val="en-IE"/>
        </w:rPr>
        <w:t xml:space="preserve"> </w:t>
      </w:r>
      <w:proofErr w:type="gramStart"/>
      <w:r w:rsidRPr="00562BD4">
        <w:rPr>
          <w:lang w:val="en-IE"/>
        </w:rPr>
        <w:t>as a result of</w:t>
      </w:r>
      <w:proofErr w:type="gramEnd"/>
      <w:r w:rsidRPr="00562BD4">
        <w:rPr>
          <w:lang w:val="en-IE"/>
        </w:rPr>
        <w:t xml:space="preserve"> an acquisition by a foreign entity)</w:t>
      </w:r>
      <w:r w:rsidRPr="00CC6AE3">
        <w:rPr>
          <w:lang w:val="en-IE"/>
        </w:rPr>
        <w:t>, its participation may have to be terminated</w:t>
      </w:r>
      <w:r w:rsidR="00D93798">
        <w:rPr>
          <w:lang w:val="en-IE"/>
        </w:rPr>
        <w:t>, unless the contracting authority accepts a request for waiver including the necessary guarantees, as set out above</w:t>
      </w:r>
      <w:r w:rsidRPr="00CC6AE3">
        <w:rPr>
          <w:lang w:val="en-IE"/>
        </w:rPr>
        <w:t xml:space="preserve">. </w:t>
      </w:r>
    </w:p>
    <w:p w:rsidRPr="00727EE1" w:rsidR="00727EE1" w:rsidP="004947B0" w:rsidRDefault="00727EE1" w14:paraId="64C3B15B" w14:textId="137C1CCE">
      <w:pPr>
        <w:jc w:val="both"/>
        <w:rPr>
          <w:lang w:val="en-IE"/>
        </w:rPr>
      </w:pPr>
    </w:p>
    <w:sectPr w:rsidRPr="00727EE1" w:rsidR="00727EE1" w:rsidSect="009149CA">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13A9" w:rsidP="00727EE1" w:rsidRDefault="008713A9" w14:paraId="474504F9" w14:textId="77777777">
      <w:pPr>
        <w:spacing w:after="0" w:line="240" w:lineRule="auto"/>
      </w:pPr>
      <w:r>
        <w:separator/>
      </w:r>
    </w:p>
  </w:endnote>
  <w:endnote w:type="continuationSeparator" w:id="0">
    <w:p w:rsidR="008713A9" w:rsidP="00727EE1" w:rsidRDefault="008713A9" w14:paraId="5580667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3A9" w:rsidRDefault="008713A9" w14:paraId="53CD4029" w14:textId="77777777">
    <w:pPr>
      <w:spacing w:after="0"/>
      <w:ind w:right="552"/>
      <w:jc w:val="right"/>
    </w:pPr>
    <w:r>
      <w:fldChar w:fldCharType="begin"/>
    </w:r>
    <w:r>
      <w:instrText xml:space="preserve"> PAGE   \* MERGEFORMAT </w:instrText>
    </w:r>
    <w:r>
      <w:fldChar w:fldCharType="separate"/>
    </w:r>
    <w:r>
      <w:rPr>
        <w:rFonts w:ascii="Verdana" w:hAnsi="Verdana" w:eastAsia="Verdana" w:cs="Verdana"/>
        <w:sz w:val="16"/>
      </w:rPr>
      <w:t>2</w:t>
    </w:r>
    <w:r>
      <w:rPr>
        <w:rFonts w:ascii="Verdana" w:hAnsi="Verdana" w:eastAsia="Verdana" w:cs="Verdana"/>
        <w:sz w:val="16"/>
      </w:rPr>
      <w:fldChar w:fldCharType="end"/>
    </w:r>
    <w:r>
      <w:rPr>
        <w:rFonts w:ascii="Verdana" w:hAnsi="Verdana" w:eastAsia="Verdana" w:cs="Verdana"/>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3A9" w:rsidRDefault="008713A9" w14:paraId="57360373" w14:textId="0A8F2DA4">
    <w:pPr>
      <w:spacing w:after="0"/>
      <w:ind w:right="552"/>
      <w:jc w:val="right"/>
    </w:pPr>
    <w:r>
      <w:fldChar w:fldCharType="begin"/>
    </w:r>
    <w:r>
      <w:instrText xml:space="preserve"> PAGE   \* MERGEFORMAT </w:instrText>
    </w:r>
    <w:r>
      <w:fldChar w:fldCharType="separate"/>
    </w:r>
    <w:r w:rsidRPr="008F15F1" w:rsidR="008F15F1">
      <w:rPr>
        <w:rFonts w:ascii="Verdana" w:hAnsi="Verdana" w:eastAsia="Verdana" w:cs="Verdana"/>
        <w:noProof/>
        <w:sz w:val="16"/>
      </w:rPr>
      <w:t>8</w:t>
    </w:r>
    <w:r>
      <w:rPr>
        <w:rFonts w:ascii="Verdana" w:hAnsi="Verdana" w:eastAsia="Verdana" w:cs="Verdana"/>
        <w:sz w:val="16"/>
      </w:rPr>
      <w:fldChar w:fldCharType="end"/>
    </w:r>
    <w:r>
      <w:rPr>
        <w:rFonts w:ascii="Verdana" w:hAnsi="Verdana" w:eastAsia="Verdana" w:cs="Verdana"/>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3A9" w:rsidRDefault="008713A9" w14:paraId="157024AE"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13A9" w:rsidP="00727EE1" w:rsidRDefault="008713A9" w14:paraId="2C404744" w14:textId="77777777">
      <w:pPr>
        <w:spacing w:after="0" w:line="240" w:lineRule="auto"/>
      </w:pPr>
      <w:r>
        <w:separator/>
      </w:r>
    </w:p>
  </w:footnote>
  <w:footnote w:type="continuationSeparator" w:id="0">
    <w:p w:rsidR="008713A9" w:rsidP="00727EE1" w:rsidRDefault="008713A9" w14:paraId="094C6DC4" w14:textId="77777777">
      <w:pPr>
        <w:spacing w:after="0" w:line="240" w:lineRule="auto"/>
      </w:pPr>
      <w:r>
        <w:continuationSeparator/>
      </w:r>
    </w:p>
  </w:footnote>
  <w:footnote w:id="1">
    <w:p w:rsidR="008713A9" w:rsidP="00E817CE" w:rsidRDefault="008713A9" w14:paraId="5CA7CBF4" w14:textId="75346704">
      <w:pPr>
        <w:pStyle w:val="footnotedescription"/>
        <w:ind w:right="25"/>
        <w:jc w:val="both"/>
      </w:pPr>
      <w:r>
        <w:rPr>
          <w:rStyle w:val="footnotemark"/>
        </w:rPr>
        <w:footnoteRef/>
      </w:r>
      <w:r>
        <w:t xml:space="preserve"> Article 339 of the TFEU: “</w:t>
      </w:r>
      <w:r>
        <w:rPr>
          <w:i/>
        </w:rPr>
        <w:t xml:space="preserve">The members of the institutions of the Union, the members of </w:t>
      </w:r>
      <w:r w:rsidR="007437D9">
        <w:rPr>
          <w:i/>
        </w:rPr>
        <w:t>the Evaluation C</w:t>
      </w:r>
      <w:r>
        <w:rPr>
          <w:i/>
        </w:rPr>
        <w:t>ommittee, and the officials and other servants of the Union shall be required, even after their duties have ceased, not to disclose information of the kind covered by the obligation of professional secrecy, in particular information about undertakings, their business relations or their cost components.”</w:t>
      </w:r>
      <w:r>
        <w:t xml:space="preserve"> </w:t>
      </w:r>
    </w:p>
  </w:footnote>
  <w:footnote w:id="2">
    <w:p w:rsidRPr="00FB2DAD" w:rsidR="008713A9" w:rsidP="00783C0B" w:rsidRDefault="008713A9" w14:paraId="68630AE7" w14:textId="6681E549">
      <w:pPr>
        <w:pStyle w:val="FootnoteText"/>
        <w:rPr>
          <w:lang w:val="en-IE"/>
        </w:rPr>
      </w:pPr>
      <w:r>
        <w:rPr>
          <w:rStyle w:val="FootnoteReference"/>
        </w:rPr>
        <w:footnoteRef/>
      </w:r>
      <w:r w:rsidRPr="00FB2DAD">
        <w:rPr>
          <w:lang w:val="en-IE"/>
        </w:rPr>
        <w:t xml:space="preserve"> Public entities are considered those entities where the only involved bodies in their </w:t>
      </w:r>
      <w:r w:rsidRPr="00FB2DAD" w:rsidR="00F94DC0">
        <w:rPr>
          <w:lang w:val="en-IE"/>
        </w:rPr>
        <w:t>decision-making</w:t>
      </w:r>
      <w:r w:rsidRPr="00FB2DAD">
        <w:rPr>
          <w:lang w:val="en-IE"/>
        </w:rPr>
        <w:t xml:space="preserve"> process are the authorities of one or more Member States or one of some their territorial division</w:t>
      </w:r>
      <w:r>
        <w:rPr>
          <w:lang w:val="en-IE"/>
        </w:rPr>
        <w:t>.</w:t>
      </w:r>
    </w:p>
  </w:footnote>
  <w:footnote w:id="3">
    <w:p w:rsidR="008713A9" w:rsidP="00783C0B" w:rsidRDefault="008713A9" w14:paraId="3AA632EF" w14:textId="20460DDE">
      <w:pPr>
        <w:pStyle w:val="footnotedescription"/>
        <w:spacing w:line="259" w:lineRule="auto"/>
      </w:pPr>
      <w:r>
        <w:rPr>
          <w:rStyle w:val="footnotemark"/>
        </w:rPr>
        <w:footnoteRef/>
      </w:r>
      <w:r>
        <w:t xml:space="preserve"> </w:t>
      </w:r>
      <w:r w:rsidR="00F94DC0">
        <w:t>E.g.,</w:t>
      </w:r>
      <w:r>
        <w:t xml:space="preserve"> an investor issuing a guarantee to a bank and the bank therefore is willing to grant a loan</w:t>
      </w:r>
      <w:r>
        <w:rPr>
          <w:sz w:val="20"/>
        </w:rPr>
        <w:t xml:space="preserve"> </w:t>
      </w:r>
    </w:p>
  </w:footnote>
  <w:footnote w:id="4">
    <w:p w:rsidR="008713A9" w:rsidP="00783C0B" w:rsidRDefault="008713A9" w14:paraId="14FCCDB3" w14:textId="77777777">
      <w:pPr>
        <w:pStyle w:val="footnotedescription"/>
        <w:spacing w:line="248" w:lineRule="auto"/>
        <w:ind w:left="432" w:right="30" w:hanging="283"/>
        <w:jc w:val="both"/>
      </w:pPr>
      <w:r>
        <w:rPr>
          <w:rStyle w:val="footnotemark"/>
        </w:rPr>
        <w:footnoteRef/>
      </w:r>
      <w:r>
        <w:t xml:space="preserve"> Regulation (EU) 2018/1725 of the European Parliament and of the Council of 23 October 2018 on the protection of natural persons </w:t>
      </w:r>
      <w:proofErr w:type="gramStart"/>
      <w:r>
        <w:t>with regard to</w:t>
      </w:r>
      <w:proofErr w:type="gramEnd"/>
      <w:r>
        <w:t xml:space="preserve"> the processing of personal data by the Union institutions, bodies, offices and agencies and on the free movement of such data, and repealing Regulation (EC) No 45/2001 and Decision No 1247/2002/EC (OJ L 295, 21.11.2018, p. 39)</w:t>
      </w:r>
      <w:r>
        <w:rPr>
          <w:i/>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27EE1" w:rsidR="008713A9" w:rsidRDefault="008713A9" w14:paraId="03CE470F" w14:textId="77777777">
    <w:pPr>
      <w:spacing w:after="0"/>
      <w:ind w:right="550"/>
      <w:jc w:val="right"/>
      <w:rPr>
        <w:lang w:val="en-IE"/>
      </w:rPr>
    </w:pPr>
    <w:r w:rsidRPr="00727EE1">
      <w:rPr>
        <w:color w:val="7F7F7F"/>
        <w:sz w:val="16"/>
        <w:lang w:val="en-IE"/>
      </w:rPr>
      <w:t xml:space="preserve">Space Programme – assessment of control v0.1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276A" w:rsidR="008713A9" w:rsidP="0027276A" w:rsidRDefault="008713A9" w14:paraId="6A12E5F0" w14:textId="62BB9D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3A9" w:rsidRDefault="008713A9" w14:paraId="06059616"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8FE"/>
    <w:multiLevelType w:val="hybridMultilevel"/>
    <w:tmpl w:val="B6D6E4F2"/>
    <w:lvl w:ilvl="0" w:tplc="EFD0BF42">
      <w:start w:val="1"/>
      <w:numFmt w:val="lowerLetter"/>
      <w:lvlText w:val="%1)"/>
      <w:lvlJc w:val="left"/>
      <w:pPr>
        <w:ind w:left="504" w:hanging="360"/>
      </w:pPr>
      <w:rPr>
        <w:rFonts w:hint="default"/>
      </w:rPr>
    </w:lvl>
    <w:lvl w:ilvl="1" w:tplc="18090019" w:tentative="1">
      <w:start w:val="1"/>
      <w:numFmt w:val="lowerLetter"/>
      <w:lvlText w:val="%2."/>
      <w:lvlJc w:val="left"/>
      <w:pPr>
        <w:ind w:left="1224" w:hanging="360"/>
      </w:pPr>
    </w:lvl>
    <w:lvl w:ilvl="2" w:tplc="1809001B" w:tentative="1">
      <w:start w:val="1"/>
      <w:numFmt w:val="lowerRoman"/>
      <w:lvlText w:val="%3."/>
      <w:lvlJc w:val="right"/>
      <w:pPr>
        <w:ind w:left="1944" w:hanging="180"/>
      </w:pPr>
    </w:lvl>
    <w:lvl w:ilvl="3" w:tplc="1809000F" w:tentative="1">
      <w:start w:val="1"/>
      <w:numFmt w:val="decimal"/>
      <w:lvlText w:val="%4."/>
      <w:lvlJc w:val="left"/>
      <w:pPr>
        <w:ind w:left="2664" w:hanging="360"/>
      </w:pPr>
    </w:lvl>
    <w:lvl w:ilvl="4" w:tplc="18090019" w:tentative="1">
      <w:start w:val="1"/>
      <w:numFmt w:val="lowerLetter"/>
      <w:lvlText w:val="%5."/>
      <w:lvlJc w:val="left"/>
      <w:pPr>
        <w:ind w:left="3384" w:hanging="360"/>
      </w:pPr>
    </w:lvl>
    <w:lvl w:ilvl="5" w:tplc="1809001B" w:tentative="1">
      <w:start w:val="1"/>
      <w:numFmt w:val="lowerRoman"/>
      <w:lvlText w:val="%6."/>
      <w:lvlJc w:val="right"/>
      <w:pPr>
        <w:ind w:left="4104" w:hanging="180"/>
      </w:pPr>
    </w:lvl>
    <w:lvl w:ilvl="6" w:tplc="1809000F" w:tentative="1">
      <w:start w:val="1"/>
      <w:numFmt w:val="decimal"/>
      <w:lvlText w:val="%7."/>
      <w:lvlJc w:val="left"/>
      <w:pPr>
        <w:ind w:left="4824" w:hanging="360"/>
      </w:pPr>
    </w:lvl>
    <w:lvl w:ilvl="7" w:tplc="18090019" w:tentative="1">
      <w:start w:val="1"/>
      <w:numFmt w:val="lowerLetter"/>
      <w:lvlText w:val="%8."/>
      <w:lvlJc w:val="left"/>
      <w:pPr>
        <w:ind w:left="5544" w:hanging="360"/>
      </w:pPr>
    </w:lvl>
    <w:lvl w:ilvl="8" w:tplc="1809001B" w:tentative="1">
      <w:start w:val="1"/>
      <w:numFmt w:val="lowerRoman"/>
      <w:lvlText w:val="%9."/>
      <w:lvlJc w:val="right"/>
      <w:pPr>
        <w:ind w:left="6264" w:hanging="180"/>
      </w:pPr>
    </w:lvl>
  </w:abstractNum>
  <w:abstractNum w:abstractNumId="1" w15:restartNumberingAfterBreak="0">
    <w:nsid w:val="031267F4"/>
    <w:multiLevelType w:val="hybridMultilevel"/>
    <w:tmpl w:val="8C8071CA"/>
    <w:lvl w:ilvl="0" w:tplc="AD2AD0F8">
      <w:start w:val="1"/>
      <w:numFmt w:val="bullet"/>
      <w:lvlText w:val=""/>
      <w:lvlJc w:val="left"/>
      <w:pPr>
        <w:ind w:left="171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1" w:tplc="4828A55E">
      <w:start w:val="1"/>
      <w:numFmt w:val="bullet"/>
      <w:lvlText w:val="o"/>
      <w:lvlJc w:val="left"/>
      <w:pPr>
        <w:ind w:left="191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AFF6FDFE">
      <w:start w:val="1"/>
      <w:numFmt w:val="bullet"/>
      <w:lvlText w:val="▪"/>
      <w:lvlJc w:val="left"/>
      <w:pPr>
        <w:ind w:left="263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841E095A">
      <w:start w:val="1"/>
      <w:numFmt w:val="bullet"/>
      <w:lvlText w:val="•"/>
      <w:lvlJc w:val="left"/>
      <w:pPr>
        <w:ind w:left="335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23DE5210">
      <w:start w:val="1"/>
      <w:numFmt w:val="bullet"/>
      <w:lvlText w:val="o"/>
      <w:lvlJc w:val="left"/>
      <w:pPr>
        <w:ind w:left="407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996AF960">
      <w:start w:val="1"/>
      <w:numFmt w:val="bullet"/>
      <w:lvlText w:val="▪"/>
      <w:lvlJc w:val="left"/>
      <w:pPr>
        <w:ind w:left="479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5C664314">
      <w:start w:val="1"/>
      <w:numFmt w:val="bullet"/>
      <w:lvlText w:val="•"/>
      <w:lvlJc w:val="left"/>
      <w:pPr>
        <w:ind w:left="551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3901602">
      <w:start w:val="1"/>
      <w:numFmt w:val="bullet"/>
      <w:lvlText w:val="o"/>
      <w:lvlJc w:val="left"/>
      <w:pPr>
        <w:ind w:left="623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CA52518C">
      <w:start w:val="1"/>
      <w:numFmt w:val="bullet"/>
      <w:lvlText w:val="▪"/>
      <w:lvlJc w:val="left"/>
      <w:pPr>
        <w:ind w:left="695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04BC4C35"/>
    <w:multiLevelType w:val="hybridMultilevel"/>
    <w:tmpl w:val="C46C01CE"/>
    <w:lvl w:ilvl="0" w:tplc="18090001">
      <w:start w:val="1"/>
      <w:numFmt w:val="bullet"/>
      <w:lvlText w:val=""/>
      <w:lvlJc w:val="left"/>
      <w:pPr>
        <w:ind w:left="1711"/>
      </w:pPr>
      <w:rPr>
        <w:rFonts w:hint="default" w:ascii="Symbol" w:hAnsi="Symbol"/>
        <w:b w:val="0"/>
        <w:i w:val="0"/>
        <w:strike w:val="0"/>
        <w:dstrike w:val="0"/>
        <w:color w:val="000000"/>
        <w:sz w:val="24"/>
        <w:szCs w:val="24"/>
        <w:u w:val="none" w:color="000000"/>
        <w:bdr w:val="none" w:color="auto" w:sz="0" w:space="0"/>
        <w:shd w:val="clear" w:color="auto" w:fill="auto"/>
        <w:vertAlign w:val="baseline"/>
      </w:rPr>
    </w:lvl>
    <w:lvl w:ilvl="1" w:tplc="4828A55E">
      <w:start w:val="1"/>
      <w:numFmt w:val="bullet"/>
      <w:lvlText w:val="o"/>
      <w:lvlJc w:val="left"/>
      <w:pPr>
        <w:ind w:left="191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AFF6FDFE">
      <w:start w:val="1"/>
      <w:numFmt w:val="bullet"/>
      <w:lvlText w:val="▪"/>
      <w:lvlJc w:val="left"/>
      <w:pPr>
        <w:ind w:left="263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841E095A">
      <w:start w:val="1"/>
      <w:numFmt w:val="bullet"/>
      <w:lvlText w:val="•"/>
      <w:lvlJc w:val="left"/>
      <w:pPr>
        <w:ind w:left="335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23DE5210">
      <w:start w:val="1"/>
      <w:numFmt w:val="bullet"/>
      <w:lvlText w:val="o"/>
      <w:lvlJc w:val="left"/>
      <w:pPr>
        <w:ind w:left="407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996AF960">
      <w:start w:val="1"/>
      <w:numFmt w:val="bullet"/>
      <w:lvlText w:val="▪"/>
      <w:lvlJc w:val="left"/>
      <w:pPr>
        <w:ind w:left="479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5C664314">
      <w:start w:val="1"/>
      <w:numFmt w:val="bullet"/>
      <w:lvlText w:val="•"/>
      <w:lvlJc w:val="left"/>
      <w:pPr>
        <w:ind w:left="551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3901602">
      <w:start w:val="1"/>
      <w:numFmt w:val="bullet"/>
      <w:lvlText w:val="o"/>
      <w:lvlJc w:val="left"/>
      <w:pPr>
        <w:ind w:left="623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CA52518C">
      <w:start w:val="1"/>
      <w:numFmt w:val="bullet"/>
      <w:lvlText w:val="▪"/>
      <w:lvlJc w:val="left"/>
      <w:pPr>
        <w:ind w:left="695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0664575D"/>
    <w:multiLevelType w:val="hybridMultilevel"/>
    <w:tmpl w:val="BE6E2EE2"/>
    <w:lvl w:ilvl="0" w:tplc="EA66CC02">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10284234">
      <w:start w:val="1"/>
      <w:numFmt w:val="bullet"/>
      <w:lvlText w:val="o"/>
      <w:lvlJc w:val="left"/>
      <w:pPr>
        <w:ind w:left="141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4314DCB0">
      <w:start w:val="1"/>
      <w:numFmt w:val="bullet"/>
      <w:lvlText w:val="▪"/>
      <w:lvlJc w:val="left"/>
      <w:pPr>
        <w:ind w:left="213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0BE8409E">
      <w:start w:val="1"/>
      <w:numFmt w:val="bullet"/>
      <w:lvlText w:val="•"/>
      <w:lvlJc w:val="left"/>
      <w:pPr>
        <w:ind w:left="285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66589930">
      <w:start w:val="1"/>
      <w:numFmt w:val="bullet"/>
      <w:lvlText w:val="o"/>
      <w:lvlJc w:val="left"/>
      <w:pPr>
        <w:ind w:left="357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38E88FD6">
      <w:start w:val="1"/>
      <w:numFmt w:val="bullet"/>
      <w:lvlText w:val="▪"/>
      <w:lvlJc w:val="left"/>
      <w:pPr>
        <w:ind w:left="429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7B40C7E6">
      <w:start w:val="1"/>
      <w:numFmt w:val="bullet"/>
      <w:lvlText w:val="•"/>
      <w:lvlJc w:val="left"/>
      <w:pPr>
        <w:ind w:left="501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403A6A88">
      <w:start w:val="1"/>
      <w:numFmt w:val="bullet"/>
      <w:lvlText w:val="o"/>
      <w:lvlJc w:val="left"/>
      <w:pPr>
        <w:ind w:left="573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7026EEC2">
      <w:start w:val="1"/>
      <w:numFmt w:val="bullet"/>
      <w:lvlText w:val="▪"/>
      <w:lvlJc w:val="left"/>
      <w:pPr>
        <w:ind w:left="645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4" w15:restartNumberingAfterBreak="0">
    <w:nsid w:val="0A1D1AFE"/>
    <w:multiLevelType w:val="hybridMultilevel"/>
    <w:tmpl w:val="27484640"/>
    <w:lvl w:ilvl="0" w:tplc="18090001">
      <w:start w:val="1"/>
      <w:numFmt w:val="bullet"/>
      <w:lvlText w:val=""/>
      <w:lvlJc w:val="left"/>
      <w:pPr>
        <w:ind w:left="1063" w:hanging="360"/>
      </w:pPr>
      <w:rPr>
        <w:rFonts w:hint="default" w:ascii="Symbol" w:hAnsi="Symbol"/>
      </w:rPr>
    </w:lvl>
    <w:lvl w:ilvl="1" w:tplc="18090003" w:tentative="1">
      <w:start w:val="1"/>
      <w:numFmt w:val="bullet"/>
      <w:lvlText w:val="o"/>
      <w:lvlJc w:val="left"/>
      <w:pPr>
        <w:ind w:left="1783" w:hanging="360"/>
      </w:pPr>
      <w:rPr>
        <w:rFonts w:hint="default" w:ascii="Courier New" w:hAnsi="Courier New" w:cs="Courier New"/>
      </w:rPr>
    </w:lvl>
    <w:lvl w:ilvl="2" w:tplc="18090005" w:tentative="1">
      <w:start w:val="1"/>
      <w:numFmt w:val="bullet"/>
      <w:lvlText w:val=""/>
      <w:lvlJc w:val="left"/>
      <w:pPr>
        <w:ind w:left="2503" w:hanging="360"/>
      </w:pPr>
      <w:rPr>
        <w:rFonts w:hint="default" w:ascii="Wingdings" w:hAnsi="Wingdings"/>
      </w:rPr>
    </w:lvl>
    <w:lvl w:ilvl="3" w:tplc="18090001" w:tentative="1">
      <w:start w:val="1"/>
      <w:numFmt w:val="bullet"/>
      <w:lvlText w:val=""/>
      <w:lvlJc w:val="left"/>
      <w:pPr>
        <w:ind w:left="3223" w:hanging="360"/>
      </w:pPr>
      <w:rPr>
        <w:rFonts w:hint="default" w:ascii="Symbol" w:hAnsi="Symbol"/>
      </w:rPr>
    </w:lvl>
    <w:lvl w:ilvl="4" w:tplc="18090003" w:tentative="1">
      <w:start w:val="1"/>
      <w:numFmt w:val="bullet"/>
      <w:lvlText w:val="o"/>
      <w:lvlJc w:val="left"/>
      <w:pPr>
        <w:ind w:left="3943" w:hanging="360"/>
      </w:pPr>
      <w:rPr>
        <w:rFonts w:hint="default" w:ascii="Courier New" w:hAnsi="Courier New" w:cs="Courier New"/>
      </w:rPr>
    </w:lvl>
    <w:lvl w:ilvl="5" w:tplc="18090005" w:tentative="1">
      <w:start w:val="1"/>
      <w:numFmt w:val="bullet"/>
      <w:lvlText w:val=""/>
      <w:lvlJc w:val="left"/>
      <w:pPr>
        <w:ind w:left="4663" w:hanging="360"/>
      </w:pPr>
      <w:rPr>
        <w:rFonts w:hint="default" w:ascii="Wingdings" w:hAnsi="Wingdings"/>
      </w:rPr>
    </w:lvl>
    <w:lvl w:ilvl="6" w:tplc="18090001" w:tentative="1">
      <w:start w:val="1"/>
      <w:numFmt w:val="bullet"/>
      <w:lvlText w:val=""/>
      <w:lvlJc w:val="left"/>
      <w:pPr>
        <w:ind w:left="5383" w:hanging="360"/>
      </w:pPr>
      <w:rPr>
        <w:rFonts w:hint="default" w:ascii="Symbol" w:hAnsi="Symbol"/>
      </w:rPr>
    </w:lvl>
    <w:lvl w:ilvl="7" w:tplc="18090003" w:tentative="1">
      <w:start w:val="1"/>
      <w:numFmt w:val="bullet"/>
      <w:lvlText w:val="o"/>
      <w:lvlJc w:val="left"/>
      <w:pPr>
        <w:ind w:left="6103" w:hanging="360"/>
      </w:pPr>
      <w:rPr>
        <w:rFonts w:hint="default" w:ascii="Courier New" w:hAnsi="Courier New" w:cs="Courier New"/>
      </w:rPr>
    </w:lvl>
    <w:lvl w:ilvl="8" w:tplc="18090005" w:tentative="1">
      <w:start w:val="1"/>
      <w:numFmt w:val="bullet"/>
      <w:lvlText w:val=""/>
      <w:lvlJc w:val="left"/>
      <w:pPr>
        <w:ind w:left="6823" w:hanging="360"/>
      </w:pPr>
      <w:rPr>
        <w:rFonts w:hint="default" w:ascii="Wingdings" w:hAnsi="Wingdings"/>
      </w:rPr>
    </w:lvl>
  </w:abstractNum>
  <w:abstractNum w:abstractNumId="5" w15:restartNumberingAfterBreak="0">
    <w:nsid w:val="13BF3046"/>
    <w:multiLevelType w:val="hybridMultilevel"/>
    <w:tmpl w:val="AB9C0DE2"/>
    <w:lvl w:ilvl="0" w:tplc="6396F93C">
      <w:start w:val="1"/>
      <w:numFmt w:val="lowerRoman"/>
      <w:lvlText w:val="(%1)"/>
      <w:lvlJc w:val="left"/>
      <w:pPr>
        <w:ind w:left="1428" w:hanging="720"/>
      </w:pPr>
      <w:rPr>
        <w:rFonts w:hint="default"/>
      </w:rPr>
    </w:lvl>
    <w:lvl w:ilvl="1" w:tplc="18090019" w:tentative="1">
      <w:start w:val="1"/>
      <w:numFmt w:val="lowerLetter"/>
      <w:lvlText w:val="%2."/>
      <w:lvlJc w:val="left"/>
      <w:pPr>
        <w:ind w:left="1788" w:hanging="360"/>
      </w:pPr>
    </w:lvl>
    <w:lvl w:ilvl="2" w:tplc="1809001B" w:tentative="1">
      <w:start w:val="1"/>
      <w:numFmt w:val="lowerRoman"/>
      <w:lvlText w:val="%3."/>
      <w:lvlJc w:val="right"/>
      <w:pPr>
        <w:ind w:left="2508" w:hanging="180"/>
      </w:pPr>
    </w:lvl>
    <w:lvl w:ilvl="3" w:tplc="1809000F" w:tentative="1">
      <w:start w:val="1"/>
      <w:numFmt w:val="decimal"/>
      <w:lvlText w:val="%4."/>
      <w:lvlJc w:val="left"/>
      <w:pPr>
        <w:ind w:left="3228" w:hanging="360"/>
      </w:pPr>
    </w:lvl>
    <w:lvl w:ilvl="4" w:tplc="18090019" w:tentative="1">
      <w:start w:val="1"/>
      <w:numFmt w:val="lowerLetter"/>
      <w:lvlText w:val="%5."/>
      <w:lvlJc w:val="left"/>
      <w:pPr>
        <w:ind w:left="3948" w:hanging="360"/>
      </w:pPr>
    </w:lvl>
    <w:lvl w:ilvl="5" w:tplc="1809001B" w:tentative="1">
      <w:start w:val="1"/>
      <w:numFmt w:val="lowerRoman"/>
      <w:lvlText w:val="%6."/>
      <w:lvlJc w:val="right"/>
      <w:pPr>
        <w:ind w:left="4668" w:hanging="180"/>
      </w:pPr>
    </w:lvl>
    <w:lvl w:ilvl="6" w:tplc="1809000F" w:tentative="1">
      <w:start w:val="1"/>
      <w:numFmt w:val="decimal"/>
      <w:lvlText w:val="%7."/>
      <w:lvlJc w:val="left"/>
      <w:pPr>
        <w:ind w:left="5388" w:hanging="360"/>
      </w:pPr>
    </w:lvl>
    <w:lvl w:ilvl="7" w:tplc="18090019" w:tentative="1">
      <w:start w:val="1"/>
      <w:numFmt w:val="lowerLetter"/>
      <w:lvlText w:val="%8."/>
      <w:lvlJc w:val="left"/>
      <w:pPr>
        <w:ind w:left="6108" w:hanging="360"/>
      </w:pPr>
    </w:lvl>
    <w:lvl w:ilvl="8" w:tplc="1809001B" w:tentative="1">
      <w:start w:val="1"/>
      <w:numFmt w:val="lowerRoman"/>
      <w:lvlText w:val="%9."/>
      <w:lvlJc w:val="right"/>
      <w:pPr>
        <w:ind w:left="6828" w:hanging="180"/>
      </w:pPr>
    </w:lvl>
  </w:abstractNum>
  <w:abstractNum w:abstractNumId="6" w15:restartNumberingAfterBreak="0">
    <w:nsid w:val="214D2D07"/>
    <w:multiLevelType w:val="hybridMultilevel"/>
    <w:tmpl w:val="3938AD4E"/>
    <w:lvl w:ilvl="0" w:tplc="223E29D4">
      <w:start w:val="1"/>
      <w:numFmt w:val="bullet"/>
      <w:lvlText w:val=""/>
      <w:lvlJc w:val="left"/>
      <w:pPr>
        <w:ind w:left="86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1" w:tplc="09CC5C96">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577453F2">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F5A8E5F4">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8848C7F4">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63E82E98">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CBB8F2A0">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6B2259B2">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8B0022B8">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7" w15:restartNumberingAfterBreak="0">
    <w:nsid w:val="227F19F6"/>
    <w:multiLevelType w:val="hybridMultilevel"/>
    <w:tmpl w:val="C29C537A"/>
    <w:lvl w:ilvl="0" w:tplc="6806213E">
      <w:start w:val="1"/>
      <w:numFmt w:val="lowerLetter"/>
      <w:lvlText w:val="%1)"/>
      <w:lvlJc w:val="left"/>
      <w:pPr>
        <w:ind w:left="360" w:hanging="360"/>
      </w:pPr>
      <w:rPr>
        <w:rFonts w:hint="default"/>
      </w:rPr>
    </w:lvl>
    <w:lvl w:ilvl="1" w:tplc="18090019" w:tentative="1">
      <w:start w:val="1"/>
      <w:numFmt w:val="lowerLetter"/>
      <w:lvlText w:val="%2."/>
      <w:lvlJc w:val="left"/>
      <w:pPr>
        <w:ind w:left="1224" w:hanging="360"/>
      </w:pPr>
    </w:lvl>
    <w:lvl w:ilvl="2" w:tplc="1809001B" w:tentative="1">
      <w:start w:val="1"/>
      <w:numFmt w:val="lowerRoman"/>
      <w:lvlText w:val="%3."/>
      <w:lvlJc w:val="right"/>
      <w:pPr>
        <w:ind w:left="1944" w:hanging="180"/>
      </w:pPr>
    </w:lvl>
    <w:lvl w:ilvl="3" w:tplc="1809000F" w:tentative="1">
      <w:start w:val="1"/>
      <w:numFmt w:val="decimal"/>
      <w:lvlText w:val="%4."/>
      <w:lvlJc w:val="left"/>
      <w:pPr>
        <w:ind w:left="2664" w:hanging="360"/>
      </w:pPr>
    </w:lvl>
    <w:lvl w:ilvl="4" w:tplc="18090019" w:tentative="1">
      <w:start w:val="1"/>
      <w:numFmt w:val="lowerLetter"/>
      <w:lvlText w:val="%5."/>
      <w:lvlJc w:val="left"/>
      <w:pPr>
        <w:ind w:left="3384" w:hanging="360"/>
      </w:pPr>
    </w:lvl>
    <w:lvl w:ilvl="5" w:tplc="1809001B" w:tentative="1">
      <w:start w:val="1"/>
      <w:numFmt w:val="lowerRoman"/>
      <w:lvlText w:val="%6."/>
      <w:lvlJc w:val="right"/>
      <w:pPr>
        <w:ind w:left="4104" w:hanging="180"/>
      </w:pPr>
    </w:lvl>
    <w:lvl w:ilvl="6" w:tplc="1809000F" w:tentative="1">
      <w:start w:val="1"/>
      <w:numFmt w:val="decimal"/>
      <w:lvlText w:val="%7."/>
      <w:lvlJc w:val="left"/>
      <w:pPr>
        <w:ind w:left="4824" w:hanging="360"/>
      </w:pPr>
    </w:lvl>
    <w:lvl w:ilvl="7" w:tplc="18090019" w:tentative="1">
      <w:start w:val="1"/>
      <w:numFmt w:val="lowerLetter"/>
      <w:lvlText w:val="%8."/>
      <w:lvlJc w:val="left"/>
      <w:pPr>
        <w:ind w:left="5544" w:hanging="360"/>
      </w:pPr>
    </w:lvl>
    <w:lvl w:ilvl="8" w:tplc="1809001B" w:tentative="1">
      <w:start w:val="1"/>
      <w:numFmt w:val="lowerRoman"/>
      <w:lvlText w:val="%9."/>
      <w:lvlJc w:val="right"/>
      <w:pPr>
        <w:ind w:left="6264" w:hanging="180"/>
      </w:pPr>
    </w:lvl>
  </w:abstractNum>
  <w:abstractNum w:abstractNumId="8" w15:restartNumberingAfterBreak="0">
    <w:nsid w:val="2C4804A1"/>
    <w:multiLevelType w:val="hybridMultilevel"/>
    <w:tmpl w:val="CAA472C8"/>
    <w:lvl w:ilvl="0" w:tplc="18090001">
      <w:start w:val="1"/>
      <w:numFmt w:val="bullet"/>
      <w:lvlText w:val=""/>
      <w:lvlJc w:val="left"/>
      <w:pPr>
        <w:ind w:left="1428" w:hanging="360"/>
      </w:pPr>
      <w:rPr>
        <w:rFonts w:hint="default" w:ascii="Symbol" w:hAnsi="Symbol"/>
      </w:rPr>
    </w:lvl>
    <w:lvl w:ilvl="1" w:tplc="18090003" w:tentative="1">
      <w:start w:val="1"/>
      <w:numFmt w:val="bullet"/>
      <w:lvlText w:val="o"/>
      <w:lvlJc w:val="left"/>
      <w:pPr>
        <w:ind w:left="2148" w:hanging="360"/>
      </w:pPr>
      <w:rPr>
        <w:rFonts w:hint="default" w:ascii="Courier New" w:hAnsi="Courier New" w:cs="Courier New"/>
      </w:rPr>
    </w:lvl>
    <w:lvl w:ilvl="2" w:tplc="18090005" w:tentative="1">
      <w:start w:val="1"/>
      <w:numFmt w:val="bullet"/>
      <w:lvlText w:val=""/>
      <w:lvlJc w:val="left"/>
      <w:pPr>
        <w:ind w:left="2868" w:hanging="360"/>
      </w:pPr>
      <w:rPr>
        <w:rFonts w:hint="default" w:ascii="Wingdings" w:hAnsi="Wingdings"/>
      </w:rPr>
    </w:lvl>
    <w:lvl w:ilvl="3" w:tplc="18090001" w:tentative="1">
      <w:start w:val="1"/>
      <w:numFmt w:val="bullet"/>
      <w:lvlText w:val=""/>
      <w:lvlJc w:val="left"/>
      <w:pPr>
        <w:ind w:left="3588" w:hanging="360"/>
      </w:pPr>
      <w:rPr>
        <w:rFonts w:hint="default" w:ascii="Symbol" w:hAnsi="Symbol"/>
      </w:rPr>
    </w:lvl>
    <w:lvl w:ilvl="4" w:tplc="18090003" w:tentative="1">
      <w:start w:val="1"/>
      <w:numFmt w:val="bullet"/>
      <w:lvlText w:val="o"/>
      <w:lvlJc w:val="left"/>
      <w:pPr>
        <w:ind w:left="4308" w:hanging="360"/>
      </w:pPr>
      <w:rPr>
        <w:rFonts w:hint="default" w:ascii="Courier New" w:hAnsi="Courier New" w:cs="Courier New"/>
      </w:rPr>
    </w:lvl>
    <w:lvl w:ilvl="5" w:tplc="18090005" w:tentative="1">
      <w:start w:val="1"/>
      <w:numFmt w:val="bullet"/>
      <w:lvlText w:val=""/>
      <w:lvlJc w:val="left"/>
      <w:pPr>
        <w:ind w:left="5028" w:hanging="360"/>
      </w:pPr>
      <w:rPr>
        <w:rFonts w:hint="default" w:ascii="Wingdings" w:hAnsi="Wingdings"/>
      </w:rPr>
    </w:lvl>
    <w:lvl w:ilvl="6" w:tplc="18090001" w:tentative="1">
      <w:start w:val="1"/>
      <w:numFmt w:val="bullet"/>
      <w:lvlText w:val=""/>
      <w:lvlJc w:val="left"/>
      <w:pPr>
        <w:ind w:left="5748" w:hanging="360"/>
      </w:pPr>
      <w:rPr>
        <w:rFonts w:hint="default" w:ascii="Symbol" w:hAnsi="Symbol"/>
      </w:rPr>
    </w:lvl>
    <w:lvl w:ilvl="7" w:tplc="18090003" w:tentative="1">
      <w:start w:val="1"/>
      <w:numFmt w:val="bullet"/>
      <w:lvlText w:val="o"/>
      <w:lvlJc w:val="left"/>
      <w:pPr>
        <w:ind w:left="6468" w:hanging="360"/>
      </w:pPr>
      <w:rPr>
        <w:rFonts w:hint="default" w:ascii="Courier New" w:hAnsi="Courier New" w:cs="Courier New"/>
      </w:rPr>
    </w:lvl>
    <w:lvl w:ilvl="8" w:tplc="18090005" w:tentative="1">
      <w:start w:val="1"/>
      <w:numFmt w:val="bullet"/>
      <w:lvlText w:val=""/>
      <w:lvlJc w:val="left"/>
      <w:pPr>
        <w:ind w:left="7188" w:hanging="360"/>
      </w:pPr>
      <w:rPr>
        <w:rFonts w:hint="default" w:ascii="Wingdings" w:hAnsi="Wingdings"/>
      </w:rPr>
    </w:lvl>
  </w:abstractNum>
  <w:abstractNum w:abstractNumId="9" w15:restartNumberingAfterBreak="0">
    <w:nsid w:val="30363FD2"/>
    <w:multiLevelType w:val="hybridMultilevel"/>
    <w:tmpl w:val="26F00A94"/>
    <w:lvl w:ilvl="0" w:tplc="11229544">
      <w:start w:val="1"/>
      <w:numFmt w:val="lowerLetter"/>
      <w:lvlText w:val="%1)"/>
      <w:lvlJc w:val="left"/>
      <w:pPr>
        <w:ind w:left="643"/>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FC8C46E6">
      <w:start w:val="1"/>
      <w:numFmt w:val="bullet"/>
      <w:lvlText w:val="-"/>
      <w:lvlJc w:val="left"/>
      <w:pPr>
        <w:ind w:left="1133"/>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6F08FA78">
      <w:start w:val="1"/>
      <w:numFmt w:val="bullet"/>
      <w:lvlText w:val="▪"/>
      <w:lvlJc w:val="left"/>
      <w:pPr>
        <w:ind w:left="193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5AD295BC">
      <w:start w:val="1"/>
      <w:numFmt w:val="bullet"/>
      <w:lvlText w:val="•"/>
      <w:lvlJc w:val="left"/>
      <w:pPr>
        <w:ind w:left="265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B2726566">
      <w:start w:val="1"/>
      <w:numFmt w:val="bullet"/>
      <w:lvlText w:val="o"/>
      <w:lvlJc w:val="left"/>
      <w:pPr>
        <w:ind w:left="337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6BC61108">
      <w:start w:val="1"/>
      <w:numFmt w:val="bullet"/>
      <w:lvlText w:val="▪"/>
      <w:lvlJc w:val="left"/>
      <w:pPr>
        <w:ind w:left="409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9F0E4936">
      <w:start w:val="1"/>
      <w:numFmt w:val="bullet"/>
      <w:lvlText w:val="•"/>
      <w:lvlJc w:val="left"/>
      <w:pPr>
        <w:ind w:left="481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0FE637CA">
      <w:start w:val="1"/>
      <w:numFmt w:val="bullet"/>
      <w:lvlText w:val="o"/>
      <w:lvlJc w:val="left"/>
      <w:pPr>
        <w:ind w:left="553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AC0A6A30">
      <w:start w:val="1"/>
      <w:numFmt w:val="bullet"/>
      <w:lvlText w:val="▪"/>
      <w:lvlJc w:val="left"/>
      <w:pPr>
        <w:ind w:left="625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10" w15:restartNumberingAfterBreak="0">
    <w:nsid w:val="30B70A40"/>
    <w:multiLevelType w:val="hybridMultilevel"/>
    <w:tmpl w:val="D22EAE4C"/>
    <w:lvl w:ilvl="0" w:tplc="2326ED72">
      <w:start w:val="1"/>
      <w:numFmt w:val="bullet"/>
      <w:lvlText w:val="-"/>
      <w:lvlJc w:val="left"/>
      <w:pPr>
        <w:ind w:left="113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F1BEC2C0">
      <w:start w:val="1"/>
      <w:numFmt w:val="bullet"/>
      <w:lvlText w:val="o"/>
      <w:lvlJc w:val="left"/>
      <w:pPr>
        <w:ind w:left="1436"/>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CD749AA6">
      <w:start w:val="1"/>
      <w:numFmt w:val="bullet"/>
      <w:lvlText w:val="▪"/>
      <w:lvlJc w:val="left"/>
      <w:pPr>
        <w:ind w:left="2156"/>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503C8286">
      <w:start w:val="1"/>
      <w:numFmt w:val="bullet"/>
      <w:lvlText w:val="•"/>
      <w:lvlJc w:val="left"/>
      <w:pPr>
        <w:ind w:left="2876"/>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DD3CE9CC">
      <w:start w:val="1"/>
      <w:numFmt w:val="bullet"/>
      <w:lvlText w:val="o"/>
      <w:lvlJc w:val="left"/>
      <w:pPr>
        <w:ind w:left="3596"/>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B5A2ADFE">
      <w:start w:val="1"/>
      <w:numFmt w:val="bullet"/>
      <w:lvlText w:val="▪"/>
      <w:lvlJc w:val="left"/>
      <w:pPr>
        <w:ind w:left="4316"/>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7500EBDC">
      <w:start w:val="1"/>
      <w:numFmt w:val="bullet"/>
      <w:lvlText w:val="•"/>
      <w:lvlJc w:val="left"/>
      <w:pPr>
        <w:ind w:left="5036"/>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0B04EBDE">
      <w:start w:val="1"/>
      <w:numFmt w:val="bullet"/>
      <w:lvlText w:val="o"/>
      <w:lvlJc w:val="left"/>
      <w:pPr>
        <w:ind w:left="5756"/>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5C50D808">
      <w:start w:val="1"/>
      <w:numFmt w:val="bullet"/>
      <w:lvlText w:val="▪"/>
      <w:lvlJc w:val="left"/>
      <w:pPr>
        <w:ind w:left="6476"/>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11" w15:restartNumberingAfterBreak="0">
    <w:nsid w:val="383930AB"/>
    <w:multiLevelType w:val="hybridMultilevel"/>
    <w:tmpl w:val="A7BA17C0"/>
    <w:lvl w:ilvl="0" w:tplc="1809000B">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385B2C90"/>
    <w:multiLevelType w:val="hybridMultilevel"/>
    <w:tmpl w:val="B98CC55E"/>
    <w:lvl w:ilvl="0" w:tplc="44F4CB4C">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DA44FF44">
      <w:start w:val="1"/>
      <w:numFmt w:val="bullet"/>
      <w:lvlText w:val="o"/>
      <w:lvlJc w:val="left"/>
      <w:pPr>
        <w:ind w:left="144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2" w:tplc="86A8844C">
      <w:start w:val="1"/>
      <w:numFmt w:val="bullet"/>
      <w:lvlText w:val="▪"/>
      <w:lvlJc w:val="left"/>
      <w:pPr>
        <w:ind w:left="216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3" w:tplc="D2140016">
      <w:start w:val="1"/>
      <w:numFmt w:val="bullet"/>
      <w:lvlText w:val="•"/>
      <w:lvlJc w:val="left"/>
      <w:pPr>
        <w:ind w:left="288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4" w:tplc="B48273AE">
      <w:start w:val="1"/>
      <w:numFmt w:val="bullet"/>
      <w:lvlText w:val="o"/>
      <w:lvlJc w:val="left"/>
      <w:pPr>
        <w:ind w:left="360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5" w:tplc="38046EB4">
      <w:start w:val="1"/>
      <w:numFmt w:val="bullet"/>
      <w:lvlText w:val="▪"/>
      <w:lvlJc w:val="left"/>
      <w:pPr>
        <w:ind w:left="432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6" w:tplc="8F4A6D84">
      <w:start w:val="1"/>
      <w:numFmt w:val="bullet"/>
      <w:lvlText w:val="•"/>
      <w:lvlJc w:val="left"/>
      <w:pPr>
        <w:ind w:left="504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7" w:tplc="D346A024">
      <w:start w:val="1"/>
      <w:numFmt w:val="bullet"/>
      <w:lvlText w:val="o"/>
      <w:lvlJc w:val="left"/>
      <w:pPr>
        <w:ind w:left="576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8" w:tplc="2A6AA6BA">
      <w:start w:val="1"/>
      <w:numFmt w:val="bullet"/>
      <w:lvlText w:val="▪"/>
      <w:lvlJc w:val="left"/>
      <w:pPr>
        <w:ind w:left="648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abstractNum>
  <w:abstractNum w:abstractNumId="13" w15:restartNumberingAfterBreak="0">
    <w:nsid w:val="395B1CAE"/>
    <w:multiLevelType w:val="hybridMultilevel"/>
    <w:tmpl w:val="F648E1EC"/>
    <w:lvl w:ilvl="0" w:tplc="D320EA88">
      <w:start w:val="1"/>
      <w:numFmt w:val="lowerLetter"/>
      <w:lvlText w:val="%1)"/>
      <w:lvlJc w:val="left"/>
      <w:pPr>
        <w:ind w:left="569"/>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F63E4F40">
      <w:start w:val="1"/>
      <w:numFmt w:val="lowerLetter"/>
      <w:lvlText w:val="%2"/>
      <w:lvlJc w:val="left"/>
      <w:pPr>
        <w:ind w:left="147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D7D6BEA4">
      <w:start w:val="1"/>
      <w:numFmt w:val="lowerRoman"/>
      <w:lvlText w:val="%3"/>
      <w:lvlJc w:val="left"/>
      <w:pPr>
        <w:ind w:left="219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1110E1A8">
      <w:start w:val="1"/>
      <w:numFmt w:val="decimal"/>
      <w:lvlText w:val="%4"/>
      <w:lvlJc w:val="left"/>
      <w:pPr>
        <w:ind w:left="291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A2A66934">
      <w:start w:val="1"/>
      <w:numFmt w:val="lowerLetter"/>
      <w:lvlText w:val="%5"/>
      <w:lvlJc w:val="left"/>
      <w:pPr>
        <w:ind w:left="363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593CCBAC">
      <w:start w:val="1"/>
      <w:numFmt w:val="lowerRoman"/>
      <w:lvlText w:val="%6"/>
      <w:lvlJc w:val="left"/>
      <w:pPr>
        <w:ind w:left="435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3CA638E8">
      <w:start w:val="1"/>
      <w:numFmt w:val="decimal"/>
      <w:lvlText w:val="%7"/>
      <w:lvlJc w:val="left"/>
      <w:pPr>
        <w:ind w:left="507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6D2E0396">
      <w:start w:val="1"/>
      <w:numFmt w:val="lowerLetter"/>
      <w:lvlText w:val="%8"/>
      <w:lvlJc w:val="left"/>
      <w:pPr>
        <w:ind w:left="579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F0325C0A">
      <w:start w:val="1"/>
      <w:numFmt w:val="lowerRoman"/>
      <w:lvlText w:val="%9"/>
      <w:lvlJc w:val="left"/>
      <w:pPr>
        <w:ind w:left="651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4" w15:restartNumberingAfterBreak="0">
    <w:nsid w:val="3A551098"/>
    <w:multiLevelType w:val="hybridMultilevel"/>
    <w:tmpl w:val="99DAD718"/>
    <w:lvl w:ilvl="0" w:tplc="65F62376">
      <w:start w:val="1"/>
      <w:numFmt w:val="bullet"/>
      <w:lvlText w:val="•"/>
      <w:lvlJc w:val="left"/>
      <w:pPr>
        <w:ind w:left="64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C5142AF0">
      <w:start w:val="1"/>
      <w:numFmt w:val="bullet"/>
      <w:lvlText w:val="o"/>
      <w:lvlJc w:val="left"/>
      <w:pPr>
        <w:ind w:left="139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ABBE2F2E">
      <w:start w:val="1"/>
      <w:numFmt w:val="bullet"/>
      <w:lvlText w:val="▪"/>
      <w:lvlJc w:val="left"/>
      <w:pPr>
        <w:ind w:left="211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7E923D84">
      <w:start w:val="1"/>
      <w:numFmt w:val="bullet"/>
      <w:lvlText w:val="•"/>
      <w:lvlJc w:val="left"/>
      <w:pPr>
        <w:ind w:left="283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7068E240">
      <w:start w:val="1"/>
      <w:numFmt w:val="bullet"/>
      <w:lvlText w:val="o"/>
      <w:lvlJc w:val="left"/>
      <w:pPr>
        <w:ind w:left="355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72965534">
      <w:start w:val="1"/>
      <w:numFmt w:val="bullet"/>
      <w:lvlText w:val="▪"/>
      <w:lvlJc w:val="left"/>
      <w:pPr>
        <w:ind w:left="427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407650C2">
      <w:start w:val="1"/>
      <w:numFmt w:val="bullet"/>
      <w:lvlText w:val="•"/>
      <w:lvlJc w:val="left"/>
      <w:pPr>
        <w:ind w:left="499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A6A0C386">
      <w:start w:val="1"/>
      <w:numFmt w:val="bullet"/>
      <w:lvlText w:val="o"/>
      <w:lvlJc w:val="left"/>
      <w:pPr>
        <w:ind w:left="571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8094290E">
      <w:start w:val="1"/>
      <w:numFmt w:val="bullet"/>
      <w:lvlText w:val="▪"/>
      <w:lvlJc w:val="left"/>
      <w:pPr>
        <w:ind w:left="643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15" w15:restartNumberingAfterBreak="0">
    <w:nsid w:val="3B200320"/>
    <w:multiLevelType w:val="hybridMultilevel"/>
    <w:tmpl w:val="622CB22C"/>
    <w:lvl w:ilvl="0" w:tplc="3D28A832">
      <w:start w:val="1"/>
      <w:numFmt w:val="bullet"/>
      <w:lvlText w:val="•"/>
      <w:lvlJc w:val="left"/>
      <w:pPr>
        <w:ind w:left="56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2C96FE0C">
      <w:start w:val="1"/>
      <w:numFmt w:val="bullet"/>
      <w:lvlText w:val="o"/>
      <w:lvlJc w:val="left"/>
      <w:pPr>
        <w:ind w:left="136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A05C6ECA">
      <w:start w:val="1"/>
      <w:numFmt w:val="bullet"/>
      <w:lvlText w:val="▪"/>
      <w:lvlJc w:val="left"/>
      <w:pPr>
        <w:ind w:left="208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DD64ED7E">
      <w:start w:val="1"/>
      <w:numFmt w:val="bullet"/>
      <w:lvlText w:val="•"/>
      <w:lvlJc w:val="left"/>
      <w:pPr>
        <w:ind w:left="280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A1FE3946">
      <w:start w:val="1"/>
      <w:numFmt w:val="bullet"/>
      <w:lvlText w:val="o"/>
      <w:lvlJc w:val="left"/>
      <w:pPr>
        <w:ind w:left="352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A3F6ACB4">
      <w:start w:val="1"/>
      <w:numFmt w:val="bullet"/>
      <w:lvlText w:val="▪"/>
      <w:lvlJc w:val="left"/>
      <w:pPr>
        <w:ind w:left="424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157C8430">
      <w:start w:val="1"/>
      <w:numFmt w:val="bullet"/>
      <w:lvlText w:val="•"/>
      <w:lvlJc w:val="left"/>
      <w:pPr>
        <w:ind w:left="496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E2C6BCE">
      <w:start w:val="1"/>
      <w:numFmt w:val="bullet"/>
      <w:lvlText w:val="o"/>
      <w:lvlJc w:val="left"/>
      <w:pPr>
        <w:ind w:left="568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1806E7A4">
      <w:start w:val="1"/>
      <w:numFmt w:val="bullet"/>
      <w:lvlText w:val="▪"/>
      <w:lvlJc w:val="left"/>
      <w:pPr>
        <w:ind w:left="640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6" w15:restartNumberingAfterBreak="0">
    <w:nsid w:val="40C762E7"/>
    <w:multiLevelType w:val="hybridMultilevel"/>
    <w:tmpl w:val="27681018"/>
    <w:lvl w:ilvl="0" w:tplc="B02E5292">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2AF0B712">
      <w:start w:val="1"/>
      <w:numFmt w:val="bullet"/>
      <w:lvlText w:val="o"/>
      <w:lvlJc w:val="left"/>
      <w:pPr>
        <w:ind w:left="144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2" w:tplc="B9A8F6B4">
      <w:start w:val="1"/>
      <w:numFmt w:val="bullet"/>
      <w:lvlText w:val="▪"/>
      <w:lvlJc w:val="left"/>
      <w:pPr>
        <w:ind w:left="216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3" w:tplc="1F6607C2">
      <w:start w:val="1"/>
      <w:numFmt w:val="bullet"/>
      <w:lvlText w:val="•"/>
      <w:lvlJc w:val="left"/>
      <w:pPr>
        <w:ind w:left="288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4" w:tplc="0BDA2988">
      <w:start w:val="1"/>
      <w:numFmt w:val="bullet"/>
      <w:lvlText w:val="o"/>
      <w:lvlJc w:val="left"/>
      <w:pPr>
        <w:ind w:left="360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5" w:tplc="B5BEC424">
      <w:start w:val="1"/>
      <w:numFmt w:val="bullet"/>
      <w:lvlText w:val="▪"/>
      <w:lvlJc w:val="left"/>
      <w:pPr>
        <w:ind w:left="432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6" w:tplc="18887E3C">
      <w:start w:val="1"/>
      <w:numFmt w:val="bullet"/>
      <w:lvlText w:val="•"/>
      <w:lvlJc w:val="left"/>
      <w:pPr>
        <w:ind w:left="504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7" w:tplc="388CC474">
      <w:start w:val="1"/>
      <w:numFmt w:val="bullet"/>
      <w:lvlText w:val="o"/>
      <w:lvlJc w:val="left"/>
      <w:pPr>
        <w:ind w:left="576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8" w:tplc="10C22192">
      <w:start w:val="1"/>
      <w:numFmt w:val="bullet"/>
      <w:lvlText w:val="▪"/>
      <w:lvlJc w:val="left"/>
      <w:pPr>
        <w:ind w:left="648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abstractNum>
  <w:abstractNum w:abstractNumId="17" w15:restartNumberingAfterBreak="0">
    <w:nsid w:val="47E85E19"/>
    <w:multiLevelType w:val="hybridMultilevel"/>
    <w:tmpl w:val="81CA8CF8"/>
    <w:lvl w:ilvl="0" w:tplc="94DC3F42">
      <w:start w:val="1"/>
      <w:numFmt w:val="bullet"/>
      <w:lvlText w:val="-"/>
      <w:lvlJc w:val="left"/>
      <w:pPr>
        <w:ind w:left="70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1472A46A">
      <w:start w:val="1"/>
      <w:numFmt w:val="bullet"/>
      <w:lvlText w:val="o"/>
      <w:lvlJc w:val="left"/>
      <w:pPr>
        <w:ind w:left="144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2" w:tplc="07F48342">
      <w:start w:val="1"/>
      <w:numFmt w:val="bullet"/>
      <w:lvlText w:val="▪"/>
      <w:lvlJc w:val="left"/>
      <w:pPr>
        <w:ind w:left="216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3" w:tplc="1D60572A">
      <w:start w:val="1"/>
      <w:numFmt w:val="bullet"/>
      <w:lvlText w:val="•"/>
      <w:lvlJc w:val="left"/>
      <w:pPr>
        <w:ind w:left="288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4" w:tplc="4FB4095E">
      <w:start w:val="1"/>
      <w:numFmt w:val="bullet"/>
      <w:lvlText w:val="o"/>
      <w:lvlJc w:val="left"/>
      <w:pPr>
        <w:ind w:left="360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5" w:tplc="A434E260">
      <w:start w:val="1"/>
      <w:numFmt w:val="bullet"/>
      <w:lvlText w:val="▪"/>
      <w:lvlJc w:val="left"/>
      <w:pPr>
        <w:ind w:left="432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6" w:tplc="07EEAC3E">
      <w:start w:val="1"/>
      <w:numFmt w:val="bullet"/>
      <w:lvlText w:val="•"/>
      <w:lvlJc w:val="left"/>
      <w:pPr>
        <w:ind w:left="504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7" w:tplc="445AC576">
      <w:start w:val="1"/>
      <w:numFmt w:val="bullet"/>
      <w:lvlText w:val="o"/>
      <w:lvlJc w:val="left"/>
      <w:pPr>
        <w:ind w:left="576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8" w:tplc="E8ACC2F4">
      <w:start w:val="1"/>
      <w:numFmt w:val="bullet"/>
      <w:lvlText w:val="▪"/>
      <w:lvlJc w:val="left"/>
      <w:pPr>
        <w:ind w:left="648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abstractNum>
  <w:abstractNum w:abstractNumId="18" w15:restartNumberingAfterBreak="0">
    <w:nsid w:val="4D212F29"/>
    <w:multiLevelType w:val="hybridMultilevel"/>
    <w:tmpl w:val="D862B7C8"/>
    <w:lvl w:ilvl="0" w:tplc="119CEE08">
      <w:start w:val="1"/>
      <w:numFmt w:val="lowerLetter"/>
      <w:lvlText w:val="%1)"/>
      <w:lvlJc w:val="left"/>
      <w:pPr>
        <w:ind w:left="23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52923F76">
      <w:start w:val="1"/>
      <w:numFmt w:val="lowerLetter"/>
      <w:lvlText w:val="%2"/>
      <w:lvlJc w:val="left"/>
      <w:pPr>
        <w:ind w:left="10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06C410B0">
      <w:start w:val="1"/>
      <w:numFmt w:val="lowerRoman"/>
      <w:lvlText w:val="%3"/>
      <w:lvlJc w:val="left"/>
      <w:pPr>
        <w:ind w:left="18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9B7C6142">
      <w:start w:val="1"/>
      <w:numFmt w:val="decimal"/>
      <w:lvlText w:val="%4"/>
      <w:lvlJc w:val="left"/>
      <w:pPr>
        <w:ind w:left="25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856E4142">
      <w:start w:val="1"/>
      <w:numFmt w:val="lowerLetter"/>
      <w:lvlText w:val="%5"/>
      <w:lvlJc w:val="left"/>
      <w:pPr>
        <w:ind w:left="32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F1422610">
      <w:start w:val="1"/>
      <w:numFmt w:val="lowerRoman"/>
      <w:lvlText w:val="%6"/>
      <w:lvlJc w:val="left"/>
      <w:pPr>
        <w:ind w:left="39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AE800D16">
      <w:start w:val="1"/>
      <w:numFmt w:val="decimal"/>
      <w:lvlText w:val="%7"/>
      <w:lvlJc w:val="left"/>
      <w:pPr>
        <w:ind w:left="46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7682FBF0">
      <w:start w:val="1"/>
      <w:numFmt w:val="lowerLetter"/>
      <w:lvlText w:val="%8"/>
      <w:lvlJc w:val="left"/>
      <w:pPr>
        <w:ind w:left="54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F3D0F89E">
      <w:start w:val="1"/>
      <w:numFmt w:val="lowerRoman"/>
      <w:lvlText w:val="%9"/>
      <w:lvlJc w:val="left"/>
      <w:pPr>
        <w:ind w:left="61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9" w15:restartNumberingAfterBreak="0">
    <w:nsid w:val="56F96448"/>
    <w:multiLevelType w:val="hybridMultilevel"/>
    <w:tmpl w:val="C8F88BC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0" w15:restartNumberingAfterBreak="0">
    <w:nsid w:val="5A413FED"/>
    <w:multiLevelType w:val="hybridMultilevel"/>
    <w:tmpl w:val="23106DBA"/>
    <w:lvl w:ilvl="0" w:tplc="6396F93C">
      <w:start w:val="1"/>
      <w:numFmt w:val="lowerRoman"/>
      <w:lvlText w:val="(%1)"/>
      <w:lvlJc w:val="left"/>
      <w:pPr>
        <w:ind w:left="1428" w:hanging="720"/>
      </w:pPr>
      <w:rPr>
        <w:rFonts w:hint="default"/>
      </w:rPr>
    </w:lvl>
    <w:lvl w:ilvl="1" w:tplc="18090019" w:tentative="1">
      <w:start w:val="1"/>
      <w:numFmt w:val="lowerLetter"/>
      <w:lvlText w:val="%2."/>
      <w:lvlJc w:val="left"/>
      <w:pPr>
        <w:ind w:left="1788" w:hanging="360"/>
      </w:pPr>
    </w:lvl>
    <w:lvl w:ilvl="2" w:tplc="1809001B" w:tentative="1">
      <w:start w:val="1"/>
      <w:numFmt w:val="lowerRoman"/>
      <w:lvlText w:val="%3."/>
      <w:lvlJc w:val="right"/>
      <w:pPr>
        <w:ind w:left="2508" w:hanging="180"/>
      </w:pPr>
    </w:lvl>
    <w:lvl w:ilvl="3" w:tplc="1809000F" w:tentative="1">
      <w:start w:val="1"/>
      <w:numFmt w:val="decimal"/>
      <w:lvlText w:val="%4."/>
      <w:lvlJc w:val="left"/>
      <w:pPr>
        <w:ind w:left="3228" w:hanging="360"/>
      </w:pPr>
    </w:lvl>
    <w:lvl w:ilvl="4" w:tplc="18090019" w:tentative="1">
      <w:start w:val="1"/>
      <w:numFmt w:val="lowerLetter"/>
      <w:lvlText w:val="%5."/>
      <w:lvlJc w:val="left"/>
      <w:pPr>
        <w:ind w:left="3948" w:hanging="360"/>
      </w:pPr>
    </w:lvl>
    <w:lvl w:ilvl="5" w:tplc="1809001B" w:tentative="1">
      <w:start w:val="1"/>
      <w:numFmt w:val="lowerRoman"/>
      <w:lvlText w:val="%6."/>
      <w:lvlJc w:val="right"/>
      <w:pPr>
        <w:ind w:left="4668" w:hanging="180"/>
      </w:pPr>
    </w:lvl>
    <w:lvl w:ilvl="6" w:tplc="1809000F" w:tentative="1">
      <w:start w:val="1"/>
      <w:numFmt w:val="decimal"/>
      <w:lvlText w:val="%7."/>
      <w:lvlJc w:val="left"/>
      <w:pPr>
        <w:ind w:left="5388" w:hanging="360"/>
      </w:pPr>
    </w:lvl>
    <w:lvl w:ilvl="7" w:tplc="18090019" w:tentative="1">
      <w:start w:val="1"/>
      <w:numFmt w:val="lowerLetter"/>
      <w:lvlText w:val="%8."/>
      <w:lvlJc w:val="left"/>
      <w:pPr>
        <w:ind w:left="6108" w:hanging="360"/>
      </w:pPr>
    </w:lvl>
    <w:lvl w:ilvl="8" w:tplc="1809001B" w:tentative="1">
      <w:start w:val="1"/>
      <w:numFmt w:val="lowerRoman"/>
      <w:lvlText w:val="%9."/>
      <w:lvlJc w:val="right"/>
      <w:pPr>
        <w:ind w:left="6828" w:hanging="180"/>
      </w:pPr>
    </w:lvl>
  </w:abstractNum>
  <w:abstractNum w:abstractNumId="21" w15:restartNumberingAfterBreak="0">
    <w:nsid w:val="6E114997"/>
    <w:multiLevelType w:val="hybridMultilevel"/>
    <w:tmpl w:val="DBDE6674"/>
    <w:lvl w:ilvl="0" w:tplc="18090001">
      <w:start w:val="1"/>
      <w:numFmt w:val="bullet"/>
      <w:lvlText w:val=""/>
      <w:lvlJc w:val="left"/>
      <w:pPr>
        <w:ind w:left="1711"/>
      </w:pPr>
      <w:rPr>
        <w:rFonts w:hint="default" w:ascii="Symbol" w:hAnsi="Symbol"/>
        <w:b w:val="0"/>
        <w:i w:val="0"/>
        <w:strike w:val="0"/>
        <w:dstrike w:val="0"/>
        <w:color w:val="000000"/>
        <w:sz w:val="24"/>
        <w:szCs w:val="24"/>
        <w:u w:val="none" w:color="000000"/>
        <w:bdr w:val="none" w:color="auto" w:sz="0" w:space="0"/>
        <w:shd w:val="clear" w:color="auto" w:fill="auto"/>
        <w:vertAlign w:val="baseline"/>
      </w:rPr>
    </w:lvl>
    <w:lvl w:ilvl="1" w:tplc="4828A55E">
      <w:start w:val="1"/>
      <w:numFmt w:val="bullet"/>
      <w:lvlText w:val="o"/>
      <w:lvlJc w:val="left"/>
      <w:pPr>
        <w:ind w:left="191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AFF6FDFE">
      <w:start w:val="1"/>
      <w:numFmt w:val="bullet"/>
      <w:lvlText w:val="▪"/>
      <w:lvlJc w:val="left"/>
      <w:pPr>
        <w:ind w:left="263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841E095A">
      <w:start w:val="1"/>
      <w:numFmt w:val="bullet"/>
      <w:lvlText w:val="•"/>
      <w:lvlJc w:val="left"/>
      <w:pPr>
        <w:ind w:left="335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23DE5210">
      <w:start w:val="1"/>
      <w:numFmt w:val="bullet"/>
      <w:lvlText w:val="o"/>
      <w:lvlJc w:val="left"/>
      <w:pPr>
        <w:ind w:left="407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996AF960">
      <w:start w:val="1"/>
      <w:numFmt w:val="bullet"/>
      <w:lvlText w:val="▪"/>
      <w:lvlJc w:val="left"/>
      <w:pPr>
        <w:ind w:left="479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5C664314">
      <w:start w:val="1"/>
      <w:numFmt w:val="bullet"/>
      <w:lvlText w:val="•"/>
      <w:lvlJc w:val="left"/>
      <w:pPr>
        <w:ind w:left="551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3901602">
      <w:start w:val="1"/>
      <w:numFmt w:val="bullet"/>
      <w:lvlText w:val="o"/>
      <w:lvlJc w:val="left"/>
      <w:pPr>
        <w:ind w:left="623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CA52518C">
      <w:start w:val="1"/>
      <w:numFmt w:val="bullet"/>
      <w:lvlText w:val="▪"/>
      <w:lvlJc w:val="left"/>
      <w:pPr>
        <w:ind w:left="695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2" w15:restartNumberingAfterBreak="0">
    <w:nsid w:val="71576EB1"/>
    <w:multiLevelType w:val="hybridMultilevel"/>
    <w:tmpl w:val="B5946A14"/>
    <w:lvl w:ilvl="0" w:tplc="18090001">
      <w:start w:val="1"/>
      <w:numFmt w:val="bullet"/>
      <w:lvlText w:val=""/>
      <w:lvlJc w:val="left"/>
      <w:pPr>
        <w:ind w:left="869"/>
      </w:pPr>
      <w:rPr>
        <w:rFonts w:hint="default" w:ascii="Symbol" w:hAnsi="Symbol"/>
        <w:b w:val="0"/>
        <w:i w:val="0"/>
        <w:strike w:val="0"/>
        <w:dstrike w:val="0"/>
        <w:color w:val="000000"/>
        <w:sz w:val="20"/>
        <w:szCs w:val="20"/>
        <w:u w:val="none" w:color="000000"/>
        <w:bdr w:val="none" w:color="auto" w:sz="0" w:space="0"/>
        <w:shd w:val="clear" w:color="auto" w:fill="auto"/>
        <w:vertAlign w:val="baseline"/>
      </w:rPr>
    </w:lvl>
    <w:lvl w:ilvl="1" w:tplc="09CC5C96">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577453F2">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F5A8E5F4">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8848C7F4">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63E82E98">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CBB8F2A0">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6B2259B2">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8B0022B8">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23" w15:restartNumberingAfterBreak="0">
    <w:nsid w:val="74257DC8"/>
    <w:multiLevelType w:val="hybridMultilevel"/>
    <w:tmpl w:val="46FA5846"/>
    <w:lvl w:ilvl="0" w:tplc="0F6028CA">
      <w:start w:val="1"/>
      <w:numFmt w:val="lowerLetter"/>
      <w:lvlText w:val="%1)"/>
      <w:lvlJc w:val="left"/>
      <w:pPr>
        <w:ind w:left="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33025C24">
      <w:start w:val="1"/>
      <w:numFmt w:val="bullet"/>
      <w:lvlText w:val="•"/>
      <w:lvlJc w:val="left"/>
      <w:pPr>
        <w:ind w:left="142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5FE8DF96">
      <w:start w:val="1"/>
      <w:numFmt w:val="bullet"/>
      <w:lvlText w:val="▪"/>
      <w:lvlJc w:val="left"/>
      <w:pPr>
        <w:ind w:left="231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322AD20E">
      <w:start w:val="1"/>
      <w:numFmt w:val="bullet"/>
      <w:lvlText w:val="•"/>
      <w:lvlJc w:val="left"/>
      <w:pPr>
        <w:ind w:left="303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7449EA4">
      <w:start w:val="1"/>
      <w:numFmt w:val="bullet"/>
      <w:lvlText w:val="o"/>
      <w:lvlJc w:val="left"/>
      <w:pPr>
        <w:ind w:left="375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75A81414">
      <w:start w:val="1"/>
      <w:numFmt w:val="bullet"/>
      <w:lvlText w:val="▪"/>
      <w:lvlJc w:val="left"/>
      <w:pPr>
        <w:ind w:left="447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C97896CA">
      <w:start w:val="1"/>
      <w:numFmt w:val="bullet"/>
      <w:lvlText w:val="•"/>
      <w:lvlJc w:val="left"/>
      <w:pPr>
        <w:ind w:left="519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87A2926">
      <w:start w:val="1"/>
      <w:numFmt w:val="bullet"/>
      <w:lvlText w:val="o"/>
      <w:lvlJc w:val="left"/>
      <w:pPr>
        <w:ind w:left="591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0A6670F2">
      <w:start w:val="1"/>
      <w:numFmt w:val="bullet"/>
      <w:lvlText w:val="▪"/>
      <w:lvlJc w:val="left"/>
      <w:pPr>
        <w:ind w:left="663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4" w15:restartNumberingAfterBreak="0">
    <w:nsid w:val="7D627556"/>
    <w:multiLevelType w:val="hybridMultilevel"/>
    <w:tmpl w:val="7E8EA376"/>
    <w:lvl w:ilvl="0" w:tplc="4E3E23C0">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C3F40D28">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294CC006">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4342A8BA">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886E8908">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A2449DA2">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C82E03C4">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D3C26680">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C218AD9A">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25" w15:restartNumberingAfterBreak="0">
    <w:nsid w:val="7ECE7C61"/>
    <w:multiLevelType w:val="hybridMultilevel"/>
    <w:tmpl w:val="B93E2732"/>
    <w:lvl w:ilvl="0" w:tplc="1809000B">
      <w:start w:val="1"/>
      <w:numFmt w:val="bullet"/>
      <w:lvlText w:val=""/>
      <w:lvlJc w:val="left"/>
      <w:pPr>
        <w:ind w:left="2431" w:hanging="360"/>
      </w:pPr>
      <w:rPr>
        <w:rFonts w:hint="default" w:ascii="Wingdings" w:hAnsi="Wingdings"/>
      </w:rPr>
    </w:lvl>
    <w:lvl w:ilvl="1" w:tplc="18090003" w:tentative="1">
      <w:start w:val="1"/>
      <w:numFmt w:val="bullet"/>
      <w:lvlText w:val="o"/>
      <w:lvlJc w:val="left"/>
      <w:pPr>
        <w:ind w:left="3151" w:hanging="360"/>
      </w:pPr>
      <w:rPr>
        <w:rFonts w:hint="default" w:ascii="Courier New" w:hAnsi="Courier New" w:cs="Courier New"/>
      </w:rPr>
    </w:lvl>
    <w:lvl w:ilvl="2" w:tplc="18090005" w:tentative="1">
      <w:start w:val="1"/>
      <w:numFmt w:val="bullet"/>
      <w:lvlText w:val=""/>
      <w:lvlJc w:val="left"/>
      <w:pPr>
        <w:ind w:left="3871" w:hanging="360"/>
      </w:pPr>
      <w:rPr>
        <w:rFonts w:hint="default" w:ascii="Wingdings" w:hAnsi="Wingdings"/>
      </w:rPr>
    </w:lvl>
    <w:lvl w:ilvl="3" w:tplc="18090001" w:tentative="1">
      <w:start w:val="1"/>
      <w:numFmt w:val="bullet"/>
      <w:lvlText w:val=""/>
      <w:lvlJc w:val="left"/>
      <w:pPr>
        <w:ind w:left="4591" w:hanging="360"/>
      </w:pPr>
      <w:rPr>
        <w:rFonts w:hint="default" w:ascii="Symbol" w:hAnsi="Symbol"/>
      </w:rPr>
    </w:lvl>
    <w:lvl w:ilvl="4" w:tplc="18090003" w:tentative="1">
      <w:start w:val="1"/>
      <w:numFmt w:val="bullet"/>
      <w:lvlText w:val="o"/>
      <w:lvlJc w:val="left"/>
      <w:pPr>
        <w:ind w:left="5311" w:hanging="360"/>
      </w:pPr>
      <w:rPr>
        <w:rFonts w:hint="default" w:ascii="Courier New" w:hAnsi="Courier New" w:cs="Courier New"/>
      </w:rPr>
    </w:lvl>
    <w:lvl w:ilvl="5" w:tplc="18090005" w:tentative="1">
      <w:start w:val="1"/>
      <w:numFmt w:val="bullet"/>
      <w:lvlText w:val=""/>
      <w:lvlJc w:val="left"/>
      <w:pPr>
        <w:ind w:left="6031" w:hanging="360"/>
      </w:pPr>
      <w:rPr>
        <w:rFonts w:hint="default" w:ascii="Wingdings" w:hAnsi="Wingdings"/>
      </w:rPr>
    </w:lvl>
    <w:lvl w:ilvl="6" w:tplc="18090001" w:tentative="1">
      <w:start w:val="1"/>
      <w:numFmt w:val="bullet"/>
      <w:lvlText w:val=""/>
      <w:lvlJc w:val="left"/>
      <w:pPr>
        <w:ind w:left="6751" w:hanging="360"/>
      </w:pPr>
      <w:rPr>
        <w:rFonts w:hint="default" w:ascii="Symbol" w:hAnsi="Symbol"/>
      </w:rPr>
    </w:lvl>
    <w:lvl w:ilvl="7" w:tplc="18090003" w:tentative="1">
      <w:start w:val="1"/>
      <w:numFmt w:val="bullet"/>
      <w:lvlText w:val="o"/>
      <w:lvlJc w:val="left"/>
      <w:pPr>
        <w:ind w:left="7471" w:hanging="360"/>
      </w:pPr>
      <w:rPr>
        <w:rFonts w:hint="default" w:ascii="Courier New" w:hAnsi="Courier New" w:cs="Courier New"/>
      </w:rPr>
    </w:lvl>
    <w:lvl w:ilvl="8" w:tplc="18090005" w:tentative="1">
      <w:start w:val="1"/>
      <w:numFmt w:val="bullet"/>
      <w:lvlText w:val=""/>
      <w:lvlJc w:val="left"/>
      <w:pPr>
        <w:ind w:left="8191" w:hanging="360"/>
      </w:pPr>
      <w:rPr>
        <w:rFonts w:hint="default" w:ascii="Wingdings" w:hAnsi="Wingdings"/>
      </w:rPr>
    </w:lvl>
  </w:abstractNum>
  <w:num w:numId="1" w16cid:durableId="1955213920">
    <w:abstractNumId w:val="17"/>
  </w:num>
  <w:num w:numId="2" w16cid:durableId="670065575">
    <w:abstractNumId w:val="24"/>
  </w:num>
  <w:num w:numId="3" w16cid:durableId="41025590">
    <w:abstractNumId w:val="12"/>
  </w:num>
  <w:num w:numId="4" w16cid:durableId="152992844">
    <w:abstractNumId w:val="15"/>
  </w:num>
  <w:num w:numId="5" w16cid:durableId="371393236">
    <w:abstractNumId w:val="3"/>
  </w:num>
  <w:num w:numId="6" w16cid:durableId="28997496">
    <w:abstractNumId w:val="23"/>
  </w:num>
  <w:num w:numId="7" w16cid:durableId="201749682">
    <w:abstractNumId w:val="13"/>
  </w:num>
  <w:num w:numId="8" w16cid:durableId="1537506591">
    <w:abstractNumId w:val="18"/>
  </w:num>
  <w:num w:numId="9" w16cid:durableId="2133132401">
    <w:abstractNumId w:val="9"/>
  </w:num>
  <w:num w:numId="10" w16cid:durableId="396517262">
    <w:abstractNumId w:val="10"/>
  </w:num>
  <w:num w:numId="11" w16cid:durableId="1927490809">
    <w:abstractNumId w:val="16"/>
  </w:num>
  <w:num w:numId="12" w16cid:durableId="659968584">
    <w:abstractNumId w:val="14"/>
  </w:num>
  <w:num w:numId="13" w16cid:durableId="357586250">
    <w:abstractNumId w:val="4"/>
  </w:num>
  <w:num w:numId="14" w16cid:durableId="716977044">
    <w:abstractNumId w:val="6"/>
  </w:num>
  <w:num w:numId="15" w16cid:durableId="82141928">
    <w:abstractNumId w:val="1"/>
  </w:num>
  <w:num w:numId="16" w16cid:durableId="594896485">
    <w:abstractNumId w:val="22"/>
  </w:num>
  <w:num w:numId="17" w16cid:durableId="292948301">
    <w:abstractNumId w:val="2"/>
  </w:num>
  <w:num w:numId="18" w16cid:durableId="2001273706">
    <w:abstractNumId w:val="25"/>
  </w:num>
  <w:num w:numId="19" w16cid:durableId="1447387470">
    <w:abstractNumId w:val="11"/>
  </w:num>
  <w:num w:numId="20" w16cid:durableId="241110429">
    <w:abstractNumId w:val="8"/>
  </w:num>
  <w:num w:numId="21" w16cid:durableId="856583593">
    <w:abstractNumId w:val="21"/>
  </w:num>
  <w:num w:numId="22" w16cid:durableId="1875607500">
    <w:abstractNumId w:val="19"/>
  </w:num>
  <w:num w:numId="23" w16cid:durableId="1523468940">
    <w:abstractNumId w:val="5"/>
  </w:num>
  <w:num w:numId="24" w16cid:durableId="1290933867">
    <w:abstractNumId w:val="0"/>
  </w:num>
  <w:num w:numId="25" w16cid:durableId="1831404340">
    <w:abstractNumId w:val="7"/>
  </w:num>
  <w:num w:numId="26" w16cid:durableId="2417164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CC32E1"/>
    <w:rsid w:val="000246E1"/>
    <w:rsid w:val="000632B2"/>
    <w:rsid w:val="000800F8"/>
    <w:rsid w:val="00084C33"/>
    <w:rsid w:val="000D45C5"/>
    <w:rsid w:val="000F0D4F"/>
    <w:rsid w:val="00101939"/>
    <w:rsid w:val="0014736E"/>
    <w:rsid w:val="001656FB"/>
    <w:rsid w:val="001662C1"/>
    <w:rsid w:val="001B4E71"/>
    <w:rsid w:val="001F16D1"/>
    <w:rsid w:val="002037B9"/>
    <w:rsid w:val="00221289"/>
    <w:rsid w:val="002356E0"/>
    <w:rsid w:val="0027276A"/>
    <w:rsid w:val="003120FE"/>
    <w:rsid w:val="00314AD9"/>
    <w:rsid w:val="00356CA6"/>
    <w:rsid w:val="00371E1C"/>
    <w:rsid w:val="003824DA"/>
    <w:rsid w:val="00397D1E"/>
    <w:rsid w:val="003C77A4"/>
    <w:rsid w:val="003F169C"/>
    <w:rsid w:val="004656EB"/>
    <w:rsid w:val="0049115F"/>
    <w:rsid w:val="004947B0"/>
    <w:rsid w:val="004A1F35"/>
    <w:rsid w:val="0052508D"/>
    <w:rsid w:val="00565968"/>
    <w:rsid w:val="005805DB"/>
    <w:rsid w:val="00582BD7"/>
    <w:rsid w:val="005B2B90"/>
    <w:rsid w:val="005D5D2C"/>
    <w:rsid w:val="005F53F0"/>
    <w:rsid w:val="00716644"/>
    <w:rsid w:val="00727EE1"/>
    <w:rsid w:val="00742D3B"/>
    <w:rsid w:val="007437D9"/>
    <w:rsid w:val="00743AB2"/>
    <w:rsid w:val="00756F30"/>
    <w:rsid w:val="00763F43"/>
    <w:rsid w:val="00783C0B"/>
    <w:rsid w:val="007873B7"/>
    <w:rsid w:val="007B10AB"/>
    <w:rsid w:val="007D17DD"/>
    <w:rsid w:val="007E61CA"/>
    <w:rsid w:val="00837431"/>
    <w:rsid w:val="008552C3"/>
    <w:rsid w:val="008713A9"/>
    <w:rsid w:val="00884F4F"/>
    <w:rsid w:val="00890868"/>
    <w:rsid w:val="008D5AE5"/>
    <w:rsid w:val="008E5C1F"/>
    <w:rsid w:val="008F15F1"/>
    <w:rsid w:val="009149CA"/>
    <w:rsid w:val="0095029B"/>
    <w:rsid w:val="00970EFD"/>
    <w:rsid w:val="00983D49"/>
    <w:rsid w:val="00984E0B"/>
    <w:rsid w:val="009967B1"/>
    <w:rsid w:val="00A02558"/>
    <w:rsid w:val="00A10EB0"/>
    <w:rsid w:val="00B01DDC"/>
    <w:rsid w:val="00B57E89"/>
    <w:rsid w:val="00B9061A"/>
    <w:rsid w:val="00BB2F83"/>
    <w:rsid w:val="00C37688"/>
    <w:rsid w:val="00CA56DD"/>
    <w:rsid w:val="00CC32E1"/>
    <w:rsid w:val="00CE58CA"/>
    <w:rsid w:val="00CF2BF4"/>
    <w:rsid w:val="00D06687"/>
    <w:rsid w:val="00D261C9"/>
    <w:rsid w:val="00D43795"/>
    <w:rsid w:val="00D93798"/>
    <w:rsid w:val="00DC2D50"/>
    <w:rsid w:val="00E116BE"/>
    <w:rsid w:val="00E33CEB"/>
    <w:rsid w:val="00E433D7"/>
    <w:rsid w:val="00E74B5D"/>
    <w:rsid w:val="00E817CE"/>
    <w:rsid w:val="00EA4833"/>
    <w:rsid w:val="00F5469F"/>
    <w:rsid w:val="00F6592E"/>
    <w:rsid w:val="00F80C47"/>
    <w:rsid w:val="00F94DC0"/>
    <w:rsid w:val="00F94EEA"/>
    <w:rsid w:val="00FE6FE0"/>
    <w:rsid w:val="03AD080D"/>
    <w:rsid w:val="0A80FEC5"/>
    <w:rsid w:val="0CCCE1D2"/>
    <w:rsid w:val="19546F88"/>
    <w:rsid w:val="1A8B396F"/>
    <w:rsid w:val="1F371258"/>
    <w:rsid w:val="2DB8FA22"/>
    <w:rsid w:val="2E78BA2B"/>
    <w:rsid w:val="44D46E48"/>
    <w:rsid w:val="52064610"/>
    <w:rsid w:val="53663307"/>
    <w:rsid w:val="614B8299"/>
    <w:rsid w:val="64D89F28"/>
    <w:rsid w:val="69761177"/>
    <w:rsid w:val="69F170B7"/>
    <w:rsid w:val="6F98830C"/>
    <w:rsid w:val="725F267F"/>
    <w:rsid w:val="7AB718E1"/>
    <w:rsid w:val="7E3871F1"/>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6BD4D"/>
  <w15:chartTrackingRefBased/>
  <w15:docId w15:val="{2AA864AF-1599-471C-951F-FC97EFAA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next w:val="Normal"/>
    <w:link w:val="Heading1Char"/>
    <w:uiPriority w:val="9"/>
    <w:qFormat/>
    <w:rsid w:val="00727EE1"/>
    <w:pPr>
      <w:keepNext/>
      <w:keepLines/>
      <w:spacing w:after="61"/>
      <w:ind w:left="10" w:hanging="10"/>
      <w:outlineLvl w:val="0"/>
    </w:pPr>
    <w:rPr>
      <w:rFonts w:ascii="Cambria" w:hAnsi="Cambria" w:eastAsia="Cambria" w:cs="Cambria"/>
      <w:color w:val="365F91"/>
      <w:sz w:val="26"/>
      <w:lang w:val="en-IE" w:eastAsia="en-IE"/>
    </w:rPr>
  </w:style>
  <w:style w:type="paragraph" w:styleId="Heading2">
    <w:name w:val="heading 2"/>
    <w:next w:val="Normal"/>
    <w:link w:val="Heading2Char"/>
    <w:uiPriority w:val="9"/>
    <w:unhideWhenUsed/>
    <w:qFormat/>
    <w:rsid w:val="00727EE1"/>
    <w:pPr>
      <w:keepNext/>
      <w:keepLines/>
      <w:spacing w:after="219"/>
      <w:ind w:left="293" w:hanging="10"/>
      <w:outlineLvl w:val="1"/>
    </w:pPr>
    <w:rPr>
      <w:rFonts w:ascii="Calibri" w:hAnsi="Calibri" w:eastAsia="Calibri" w:cs="Calibri"/>
      <w:color w:val="000000"/>
      <w:u w:val="single" w:color="000000"/>
      <w:lang w:val="en-IE" w:eastAsia="en-I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727EE1"/>
    <w:rPr>
      <w:rFonts w:ascii="Cambria" w:hAnsi="Cambria" w:eastAsia="Cambria" w:cs="Cambria"/>
      <w:color w:val="365F91"/>
      <w:sz w:val="26"/>
      <w:lang w:val="en-IE" w:eastAsia="en-IE"/>
    </w:rPr>
  </w:style>
  <w:style w:type="paragraph" w:styleId="footnotedescription" w:customStyle="1">
    <w:name w:val="footnote description"/>
    <w:next w:val="Normal"/>
    <w:link w:val="footnotedescriptionChar"/>
    <w:hidden/>
    <w:rsid w:val="00727EE1"/>
    <w:pPr>
      <w:spacing w:after="0" w:line="280" w:lineRule="auto"/>
      <w:ind w:right="417"/>
    </w:pPr>
    <w:rPr>
      <w:rFonts w:ascii="Calibri" w:hAnsi="Calibri" w:eastAsia="Calibri" w:cs="Calibri"/>
      <w:color w:val="000000"/>
      <w:sz w:val="18"/>
      <w:lang w:val="en-IE" w:eastAsia="en-IE"/>
    </w:rPr>
  </w:style>
  <w:style w:type="character" w:styleId="footnotedescriptionChar" w:customStyle="1">
    <w:name w:val="footnote description Char"/>
    <w:link w:val="footnotedescription"/>
    <w:rsid w:val="00727EE1"/>
    <w:rPr>
      <w:rFonts w:ascii="Calibri" w:hAnsi="Calibri" w:eastAsia="Calibri" w:cs="Calibri"/>
      <w:color w:val="000000"/>
      <w:sz w:val="18"/>
      <w:lang w:val="en-IE" w:eastAsia="en-IE"/>
    </w:rPr>
  </w:style>
  <w:style w:type="character" w:styleId="footnotemark" w:customStyle="1">
    <w:name w:val="footnote mark"/>
    <w:hidden/>
    <w:rsid w:val="00727EE1"/>
    <w:rPr>
      <w:rFonts w:ascii="Calibri" w:hAnsi="Calibri" w:eastAsia="Calibri" w:cs="Calibri"/>
      <w:color w:val="000000"/>
      <w:sz w:val="18"/>
      <w:vertAlign w:val="superscript"/>
    </w:rPr>
  </w:style>
  <w:style w:type="table" w:styleId="TableGrid" w:customStyle="1">
    <w:name w:val="TableGrid"/>
    <w:rsid w:val="00727EE1"/>
    <w:pPr>
      <w:spacing w:after="0" w:line="240" w:lineRule="auto"/>
    </w:pPr>
    <w:rPr>
      <w:rFonts w:eastAsiaTheme="minorEastAsia"/>
      <w:lang w:val="en-IE" w:eastAsia="en-IE"/>
    </w:rPr>
    <w:tblPr>
      <w:tblCellMar>
        <w:top w:w="0" w:type="dxa"/>
        <w:left w:w="0" w:type="dxa"/>
        <w:bottom w:w="0" w:type="dxa"/>
        <w:right w:w="0" w:type="dxa"/>
      </w:tblCellMar>
    </w:tblPr>
  </w:style>
  <w:style w:type="character" w:styleId="Heading2Char" w:customStyle="1">
    <w:name w:val="Heading 2 Char"/>
    <w:basedOn w:val="DefaultParagraphFont"/>
    <w:link w:val="Heading2"/>
    <w:uiPriority w:val="9"/>
    <w:rsid w:val="00727EE1"/>
    <w:rPr>
      <w:rFonts w:ascii="Calibri" w:hAnsi="Calibri" w:eastAsia="Calibri" w:cs="Calibri"/>
      <w:color w:val="000000"/>
      <w:u w:val="single" w:color="000000"/>
      <w:lang w:val="en-IE" w:eastAsia="en-IE"/>
    </w:rPr>
  </w:style>
  <w:style w:type="paragraph" w:styleId="FootnoteText">
    <w:name w:val="footnote text"/>
    <w:basedOn w:val="Normal"/>
    <w:link w:val="FootnoteTextChar"/>
    <w:uiPriority w:val="99"/>
    <w:semiHidden/>
    <w:unhideWhenUsed/>
    <w:rsid w:val="00F80C47"/>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F80C47"/>
    <w:rPr>
      <w:sz w:val="20"/>
      <w:szCs w:val="20"/>
    </w:rPr>
  </w:style>
  <w:style w:type="character" w:styleId="FootnoteReference">
    <w:name w:val="footnote reference"/>
    <w:basedOn w:val="DefaultParagraphFont"/>
    <w:uiPriority w:val="99"/>
    <w:semiHidden/>
    <w:unhideWhenUsed/>
    <w:rsid w:val="00F80C47"/>
    <w:rPr>
      <w:vertAlign w:val="superscript"/>
    </w:rPr>
  </w:style>
  <w:style w:type="paragraph" w:styleId="ListParagraph">
    <w:name w:val="List Paragraph"/>
    <w:basedOn w:val="Normal"/>
    <w:uiPriority w:val="34"/>
    <w:qFormat/>
    <w:rsid w:val="00F80C47"/>
    <w:pPr>
      <w:ind w:left="720"/>
      <w:contextualSpacing/>
    </w:pPr>
  </w:style>
  <w:style w:type="character" w:styleId="Hyperlink">
    <w:name w:val="Hyperlink"/>
    <w:basedOn w:val="DefaultParagraphFont"/>
    <w:uiPriority w:val="99"/>
    <w:semiHidden/>
    <w:unhideWhenUsed/>
    <w:rsid w:val="0027276A"/>
    <w:rPr>
      <w:color w:val="0563C1"/>
      <w:u w:val="single"/>
    </w:rPr>
  </w:style>
  <w:style w:type="paragraph" w:styleId="Header">
    <w:name w:val="header"/>
    <w:basedOn w:val="Normal"/>
    <w:link w:val="HeaderChar"/>
    <w:uiPriority w:val="99"/>
    <w:semiHidden/>
    <w:unhideWhenUsed/>
    <w:rsid w:val="0027276A"/>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27276A"/>
  </w:style>
  <w:style w:type="paragraph" w:styleId="BalloonText">
    <w:name w:val="Balloon Text"/>
    <w:basedOn w:val="Normal"/>
    <w:link w:val="BalloonTextChar"/>
    <w:uiPriority w:val="99"/>
    <w:semiHidden/>
    <w:unhideWhenUsed/>
    <w:rsid w:val="001B4E7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B4E71"/>
    <w:rPr>
      <w:rFonts w:ascii="Segoe UI" w:hAnsi="Segoe UI" w:cs="Segoe UI"/>
      <w:sz w:val="18"/>
      <w:szCs w:val="18"/>
    </w:rPr>
  </w:style>
  <w:style w:type="paragraph" w:styleId="Revision">
    <w:name w:val="Revision"/>
    <w:hidden/>
    <w:uiPriority w:val="99"/>
    <w:semiHidden/>
    <w:rsid w:val="009149CA"/>
    <w:pPr>
      <w:spacing w:after="0" w:line="240" w:lineRule="auto"/>
    </w:pPr>
  </w:style>
  <w:style w:type="character" w:styleId="CommentReference">
    <w:name w:val="annotation reference"/>
    <w:basedOn w:val="DefaultParagraphFont"/>
    <w:uiPriority w:val="99"/>
    <w:semiHidden/>
    <w:unhideWhenUsed/>
    <w:rsid w:val="003120FE"/>
    <w:rPr>
      <w:sz w:val="16"/>
      <w:szCs w:val="16"/>
    </w:rPr>
  </w:style>
  <w:style w:type="paragraph" w:styleId="CommentText">
    <w:name w:val="annotation text"/>
    <w:basedOn w:val="Normal"/>
    <w:link w:val="CommentTextChar"/>
    <w:uiPriority w:val="99"/>
    <w:semiHidden/>
    <w:unhideWhenUsed/>
    <w:rsid w:val="003120FE"/>
    <w:pPr>
      <w:spacing w:line="240" w:lineRule="auto"/>
    </w:pPr>
    <w:rPr>
      <w:sz w:val="20"/>
      <w:szCs w:val="20"/>
    </w:rPr>
  </w:style>
  <w:style w:type="character" w:styleId="CommentTextChar" w:customStyle="1">
    <w:name w:val="Comment Text Char"/>
    <w:basedOn w:val="DefaultParagraphFont"/>
    <w:link w:val="CommentText"/>
    <w:uiPriority w:val="99"/>
    <w:semiHidden/>
    <w:rsid w:val="003120FE"/>
    <w:rPr>
      <w:sz w:val="20"/>
      <w:szCs w:val="20"/>
    </w:rPr>
  </w:style>
  <w:style w:type="paragraph" w:styleId="CommentSubject">
    <w:name w:val="annotation subject"/>
    <w:basedOn w:val="CommentText"/>
    <w:next w:val="CommentText"/>
    <w:link w:val="CommentSubjectChar"/>
    <w:uiPriority w:val="99"/>
    <w:semiHidden/>
    <w:unhideWhenUsed/>
    <w:rsid w:val="003120FE"/>
    <w:rPr>
      <w:b/>
      <w:bCs/>
    </w:rPr>
  </w:style>
  <w:style w:type="character" w:styleId="CommentSubjectChar" w:customStyle="1">
    <w:name w:val="Comment Subject Char"/>
    <w:basedOn w:val="CommentTextChar"/>
    <w:link w:val="CommentSubject"/>
    <w:uiPriority w:val="99"/>
    <w:semiHidden/>
    <w:rsid w:val="003120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21747">
      <w:bodyDiv w:val="1"/>
      <w:marLeft w:val="0"/>
      <w:marRight w:val="0"/>
      <w:marTop w:val="0"/>
      <w:marBottom w:val="0"/>
      <w:divBdr>
        <w:top w:val="none" w:sz="0" w:space="0" w:color="auto"/>
        <w:left w:val="none" w:sz="0" w:space="0" w:color="auto"/>
        <w:bottom w:val="none" w:sz="0" w:space="0" w:color="auto"/>
        <w:right w:val="none" w:sz="0" w:space="0" w:color="auto"/>
      </w:divBdr>
    </w:div>
    <w:div w:id="197027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https://eur-lex.europa.eu/legal-content/EN/ALL/?uri=CELEX:32018R1725&amp;qid=1583218806694" TargetMode="External" Id="rId10"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footer" Target="footer2.xml" Id="rId14" /><Relationship Type="http://schemas.openxmlformats.org/officeDocument/2006/relationships/hyperlink" Target="https://webgate.ec.testa.eu/Ares/recentDocuments/show.do" TargetMode="External" Id="R29bf296670f3476e" /><Relationship Type="http://schemas.openxmlformats.org/officeDocument/2006/relationships/image" Target="/media/image2.png" Id="Rf5a7b3eaabcf44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70E0C-8E09-4416-844A-D837216C914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GUILLERMIN Nicolas (DEFIS)</dc:creator>
  <keywords/>
  <dc:description/>
  <lastModifiedBy>Angeletti Rina</lastModifiedBy>
  <revision>14</revision>
  <dcterms:created xsi:type="dcterms:W3CDTF">2023-06-07T11:49:00.0000000Z</dcterms:created>
  <dcterms:modified xsi:type="dcterms:W3CDTF">2024-02-15T10:27:50.9931641Z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2023-02-27T08:54:14Z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437f84ec-5684-46e9-a807-4e3ff7714a63</vt:lpwstr>
  </property>
  <property fmtid="{D5CDD505-2E9C-101B-9397-08002B2CF9AE}" pid="8" name="MSIP_Label_6bd9ddd1-4d20-43f6-abfa-fc3c07406f94_ContentBits">
    <vt:lpwstr>0</vt:lpwstr>
  </property>
</Properties>
</file>