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C9B7F" w14:textId="77777777" w:rsidR="00A91137" w:rsidRPr="004301C7" w:rsidRDefault="00A91137" w:rsidP="00A91137">
      <w:pPr>
        <w:pStyle w:val="Default"/>
        <w:jc w:val="both"/>
        <w:rPr>
          <w:sz w:val="22"/>
          <w:szCs w:val="22"/>
        </w:rPr>
      </w:pPr>
      <w:bookmarkStart w:id="0" w:name="_GoBack"/>
      <w:bookmarkEnd w:id="0"/>
      <w:r w:rsidRPr="004301C7">
        <w:rPr>
          <w:b/>
          <w:bCs/>
          <w:sz w:val="22"/>
          <w:szCs w:val="22"/>
        </w:rPr>
        <w:t xml:space="preserve">ISTRUZIONI PER L’IDENTIFICAZIONE DEL TITOLARE EFFETTIVO </w:t>
      </w:r>
    </w:p>
    <w:p w14:paraId="3A763BD7" w14:textId="77777777" w:rsidR="00A91137" w:rsidRPr="004301C7" w:rsidRDefault="00A91137" w:rsidP="00A91137">
      <w:pPr>
        <w:pStyle w:val="Default"/>
        <w:jc w:val="both"/>
        <w:rPr>
          <w:b/>
          <w:bCs/>
          <w:sz w:val="22"/>
          <w:szCs w:val="22"/>
        </w:rPr>
      </w:pPr>
    </w:p>
    <w:p w14:paraId="64E285BD" w14:textId="77777777" w:rsidR="00A91137" w:rsidRPr="004301C7" w:rsidRDefault="00A91137" w:rsidP="00A91137">
      <w:pPr>
        <w:pStyle w:val="Default"/>
        <w:jc w:val="both"/>
        <w:rPr>
          <w:sz w:val="22"/>
          <w:szCs w:val="22"/>
        </w:rPr>
      </w:pPr>
      <w:r w:rsidRPr="004301C7">
        <w:rPr>
          <w:b/>
          <w:bCs/>
          <w:sz w:val="22"/>
          <w:szCs w:val="22"/>
        </w:rPr>
        <w:t xml:space="preserve">1. NORMATIVA DI RIFERIMENTO </w:t>
      </w:r>
    </w:p>
    <w:p w14:paraId="61318D4F" w14:textId="77777777" w:rsidR="00A91137" w:rsidRPr="004301C7" w:rsidRDefault="00A91137" w:rsidP="00A91137">
      <w:pPr>
        <w:pStyle w:val="Default"/>
        <w:jc w:val="both"/>
        <w:rPr>
          <w:sz w:val="22"/>
          <w:szCs w:val="22"/>
        </w:rPr>
      </w:pPr>
      <w:r w:rsidRPr="004301C7">
        <w:rPr>
          <w:sz w:val="22"/>
          <w:szCs w:val="22"/>
        </w:rPr>
        <w:t xml:space="preserve">Secondo la Normativa Antiriciclaggio (d.lgs. 21 novembre 2007 n. 231), </w:t>
      </w:r>
      <w:r w:rsidRPr="004301C7">
        <w:rPr>
          <w:b/>
          <w:bCs/>
          <w:sz w:val="22"/>
          <w:szCs w:val="22"/>
        </w:rPr>
        <w:t>il titolare effettivo è la persona fisica per conto della quale è realizzata un’operazione o un’attività</w:t>
      </w:r>
      <w:r w:rsidRPr="004301C7">
        <w:rPr>
          <w:sz w:val="22"/>
          <w:szCs w:val="22"/>
        </w:rPr>
        <w:t xml:space="preserve">. </w:t>
      </w:r>
    </w:p>
    <w:p w14:paraId="4506EDE2" w14:textId="77777777" w:rsidR="00A91137" w:rsidRPr="004301C7" w:rsidRDefault="00A91137" w:rsidP="00A91137">
      <w:pPr>
        <w:pStyle w:val="Default"/>
        <w:jc w:val="both"/>
        <w:rPr>
          <w:sz w:val="22"/>
          <w:szCs w:val="22"/>
        </w:rPr>
      </w:pPr>
      <w:r w:rsidRPr="004301C7">
        <w:rPr>
          <w:sz w:val="22"/>
          <w:szCs w:val="22"/>
        </w:rPr>
        <w:t>Nel caso di un’</w:t>
      </w:r>
      <w:r w:rsidRPr="004301C7">
        <w:rPr>
          <w:b/>
          <w:bCs/>
          <w:sz w:val="22"/>
          <w:szCs w:val="22"/>
        </w:rPr>
        <w:t>entità giuridica</w:t>
      </w:r>
      <w:r w:rsidRPr="004301C7">
        <w:rPr>
          <w:sz w:val="22"/>
          <w:szCs w:val="22"/>
        </w:rPr>
        <w:t xml:space="preserve">, si tratta di quella </w:t>
      </w:r>
      <w:r w:rsidRPr="004301C7">
        <w:rPr>
          <w:b/>
          <w:bCs/>
          <w:sz w:val="22"/>
          <w:szCs w:val="22"/>
        </w:rPr>
        <w:t xml:space="preserve">persona fisica </w:t>
      </w:r>
      <w:r w:rsidRPr="004301C7">
        <w:rPr>
          <w:sz w:val="22"/>
          <w:szCs w:val="22"/>
        </w:rPr>
        <w:t xml:space="preserve">– </w:t>
      </w:r>
      <w:r w:rsidRPr="004301C7">
        <w:rPr>
          <w:b/>
          <w:bCs/>
          <w:sz w:val="22"/>
          <w:szCs w:val="22"/>
        </w:rPr>
        <w:t>o le persone – che, possedendo suddetta entità, ne risulta beneficiaria</w:t>
      </w:r>
      <w:r w:rsidRPr="004301C7">
        <w:rPr>
          <w:sz w:val="22"/>
          <w:szCs w:val="22"/>
        </w:rPr>
        <w:t xml:space="preserve">. </w:t>
      </w:r>
    </w:p>
    <w:p w14:paraId="35E0DD4E" w14:textId="77777777" w:rsidR="00A91137" w:rsidRPr="004301C7" w:rsidRDefault="00A91137" w:rsidP="00A91137">
      <w:pPr>
        <w:pStyle w:val="Default"/>
        <w:jc w:val="both"/>
        <w:rPr>
          <w:sz w:val="22"/>
          <w:szCs w:val="22"/>
        </w:rPr>
      </w:pPr>
      <w:r w:rsidRPr="004301C7">
        <w:rPr>
          <w:sz w:val="22"/>
          <w:szCs w:val="22"/>
        </w:rPr>
        <w:t xml:space="preserve">Tutte le entità giuridiche devono perciò essere dotate di titolare effettivo, fatta eccezione per imprese individuali e liberi professionisti, in cui il titolare effettivo coincide con la persona fisica. </w:t>
      </w:r>
    </w:p>
    <w:p w14:paraId="0E96C9E3" w14:textId="77777777" w:rsidR="00A91137" w:rsidRPr="004301C7" w:rsidRDefault="00A91137" w:rsidP="00A91137">
      <w:pPr>
        <w:pStyle w:val="Default"/>
        <w:jc w:val="both"/>
        <w:rPr>
          <w:sz w:val="22"/>
          <w:szCs w:val="22"/>
        </w:rPr>
      </w:pPr>
      <w:r w:rsidRPr="004301C7">
        <w:rPr>
          <w:sz w:val="22"/>
          <w:szCs w:val="22"/>
        </w:rPr>
        <w:t>Alla luce di quanto previsto dal Decreto Ministeriale MEF n. 55 dell’11 Marzo 2022 “</w:t>
      </w:r>
      <w:r w:rsidRPr="004301C7">
        <w:rPr>
          <w:i/>
          <w:iCs/>
          <w:sz w:val="22"/>
          <w:szCs w:val="22"/>
        </w:rPr>
        <w:t>Regolamento recante disposizioni in materia di comunicazione, accesso e consultazione dei dati e delle informazioni relativi alla titolarità effettiva di imprese dotate di personalità giuridica, di persone giuridiche private, di trust produttivi di effetti giuridici rilevanti ai fini fiscali e di istituti giuridici affini al trust</w:t>
      </w:r>
      <w:r w:rsidRPr="004301C7">
        <w:rPr>
          <w:sz w:val="22"/>
          <w:szCs w:val="22"/>
        </w:rPr>
        <w:t>”, e dalle “</w:t>
      </w:r>
      <w:r w:rsidRPr="004301C7">
        <w:rPr>
          <w:i/>
          <w:iCs/>
          <w:sz w:val="22"/>
          <w:szCs w:val="22"/>
        </w:rPr>
        <w:t>Linee Guida per lo svolgimento delle attività di controllo e rendicontazione degli interventi PNRR di competenza delle Amministrazioni centrali e dei Soggetti attuatori</w:t>
      </w:r>
      <w:r w:rsidRPr="004301C7">
        <w:rPr>
          <w:sz w:val="22"/>
          <w:szCs w:val="22"/>
        </w:rPr>
        <w:t xml:space="preserve">” emanate dal MEF - Servizio centrale per il PNRR con circolare n. 30 dell’11 agosto 2022, anche i soggetti partecipanti ad avvisi e bandi del PNRR hanno l’obbligo di fornire i dati necessari per l’identificazione del titolare effettivo. </w:t>
      </w:r>
    </w:p>
    <w:p w14:paraId="49CBC70E" w14:textId="77777777" w:rsidR="00A91137" w:rsidRPr="004301C7" w:rsidRDefault="00A91137" w:rsidP="00A91137">
      <w:pPr>
        <w:pStyle w:val="Default"/>
        <w:jc w:val="both"/>
        <w:rPr>
          <w:sz w:val="22"/>
          <w:szCs w:val="22"/>
        </w:rPr>
      </w:pPr>
      <w:r w:rsidRPr="004301C7">
        <w:rPr>
          <w:sz w:val="22"/>
          <w:szCs w:val="22"/>
        </w:rPr>
        <w:t>Anche la Comunicazione UIF dell’11 aprile 2022 ribadisce l’importanza di accertare il “titolare effettivo” ex art. 22 Reg. 241/2021. In particolare “</w:t>
      </w:r>
      <w:r w:rsidRPr="004301C7">
        <w:rPr>
          <w:i/>
          <w:iCs/>
          <w:sz w:val="22"/>
          <w:szCs w:val="22"/>
        </w:rPr>
        <w:t>Ai fini degli accertamenti in materia di titolarità effettiva,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w:t>
      </w:r>
      <w:r w:rsidRPr="004301C7">
        <w:rPr>
          <w:sz w:val="22"/>
          <w:szCs w:val="22"/>
        </w:rPr>
        <w:t xml:space="preserve">”. </w:t>
      </w:r>
    </w:p>
    <w:p w14:paraId="29A049C4" w14:textId="77777777" w:rsidR="00A91137" w:rsidRPr="004301C7" w:rsidRDefault="00A91137" w:rsidP="00A91137">
      <w:pPr>
        <w:pStyle w:val="Default"/>
        <w:jc w:val="both"/>
        <w:rPr>
          <w:sz w:val="22"/>
          <w:szCs w:val="22"/>
        </w:rPr>
      </w:pPr>
      <w:r w:rsidRPr="004301C7">
        <w:rPr>
          <w:sz w:val="22"/>
          <w:szCs w:val="22"/>
        </w:rPr>
        <w:t xml:space="preserve">Più in dettaglio, ai sensi dell’art. 1 del </w:t>
      </w:r>
      <w:r w:rsidRPr="00FE340E">
        <w:rPr>
          <w:sz w:val="22"/>
          <w:szCs w:val="22"/>
        </w:rPr>
        <w:t xml:space="preserve">citato Decreto MEF n. </w:t>
      </w:r>
      <w:r w:rsidR="00FE340E" w:rsidRPr="00FE340E">
        <w:rPr>
          <w:sz w:val="22"/>
          <w:szCs w:val="22"/>
        </w:rPr>
        <w:t>55</w:t>
      </w:r>
      <w:r w:rsidRPr="00FE340E">
        <w:rPr>
          <w:sz w:val="22"/>
          <w:szCs w:val="22"/>
        </w:rPr>
        <w:t>/2022,</w:t>
      </w:r>
      <w:r w:rsidRPr="004301C7">
        <w:rPr>
          <w:sz w:val="22"/>
          <w:szCs w:val="22"/>
        </w:rPr>
        <w:t xml:space="preserve"> per l’individuazione del titolare effettivo, in caso di: </w:t>
      </w:r>
    </w:p>
    <w:p w14:paraId="053AAA57" w14:textId="77777777" w:rsidR="00A91137" w:rsidRPr="004301C7" w:rsidRDefault="00A91137" w:rsidP="00A91137">
      <w:pPr>
        <w:pStyle w:val="Default"/>
        <w:jc w:val="both"/>
        <w:rPr>
          <w:sz w:val="22"/>
          <w:szCs w:val="22"/>
        </w:rPr>
      </w:pPr>
      <w:r w:rsidRPr="004301C7">
        <w:rPr>
          <w:sz w:val="22"/>
          <w:szCs w:val="22"/>
        </w:rPr>
        <w:t xml:space="preserve">− </w:t>
      </w:r>
      <w:r w:rsidRPr="004301C7">
        <w:rPr>
          <w:b/>
          <w:bCs/>
          <w:sz w:val="22"/>
          <w:szCs w:val="22"/>
        </w:rPr>
        <w:t>imprese dotate di personalità giuridica</w:t>
      </w:r>
      <w:r w:rsidRPr="004301C7">
        <w:rPr>
          <w:sz w:val="22"/>
          <w:szCs w:val="22"/>
        </w:rPr>
        <w:t xml:space="preserve">, si fa riferimento alla persona fisica o alle persone fisiche cui è riconducibile la proprietà diretta o indiretta ai sensi dell'articolo 20, commi 2, 3 e 5, del decreto antiriciclaggio; </w:t>
      </w:r>
    </w:p>
    <w:p w14:paraId="36A57FAE" w14:textId="77777777" w:rsidR="00A91137" w:rsidRPr="004301C7" w:rsidRDefault="00A91137" w:rsidP="00A91137">
      <w:pPr>
        <w:pStyle w:val="Default"/>
        <w:jc w:val="both"/>
        <w:rPr>
          <w:sz w:val="22"/>
          <w:szCs w:val="22"/>
        </w:rPr>
      </w:pPr>
      <w:r w:rsidRPr="004301C7">
        <w:rPr>
          <w:sz w:val="22"/>
          <w:szCs w:val="22"/>
        </w:rPr>
        <w:t xml:space="preserve">− </w:t>
      </w:r>
      <w:r w:rsidRPr="004301C7">
        <w:rPr>
          <w:b/>
          <w:bCs/>
          <w:sz w:val="22"/>
          <w:szCs w:val="22"/>
        </w:rPr>
        <w:t>persone giuridiche private</w:t>
      </w:r>
      <w:r w:rsidRPr="004301C7">
        <w:rPr>
          <w:sz w:val="22"/>
          <w:szCs w:val="22"/>
        </w:rPr>
        <w:t xml:space="preserve">, si fa riferimento ai soggetti individuati dall'articolo 20, comma 4, del decreto antiriciclaggio; </w:t>
      </w:r>
    </w:p>
    <w:p w14:paraId="06201945" w14:textId="77777777" w:rsidR="00A91137" w:rsidRPr="004301C7" w:rsidRDefault="00A91137" w:rsidP="00A91137">
      <w:pPr>
        <w:pStyle w:val="Default"/>
        <w:jc w:val="both"/>
        <w:rPr>
          <w:sz w:val="22"/>
          <w:szCs w:val="22"/>
        </w:rPr>
      </w:pPr>
      <w:r w:rsidRPr="004301C7">
        <w:rPr>
          <w:sz w:val="22"/>
          <w:szCs w:val="22"/>
        </w:rPr>
        <w:t xml:space="preserve">− </w:t>
      </w:r>
      <w:r w:rsidRPr="004301C7">
        <w:rPr>
          <w:b/>
          <w:bCs/>
          <w:sz w:val="22"/>
          <w:szCs w:val="22"/>
        </w:rPr>
        <w:t>trust e istituti giuridici affini</w:t>
      </w:r>
      <w:r w:rsidRPr="004301C7">
        <w:rPr>
          <w:sz w:val="22"/>
          <w:szCs w:val="22"/>
        </w:rPr>
        <w:t xml:space="preserve">, si fa riferimento ai i soggetti individuati dall'articolo 22, comma 5, primo periodo, del decreto antiriciclaggio; </w:t>
      </w:r>
    </w:p>
    <w:p w14:paraId="1876247D" w14:textId="77777777" w:rsidR="00A91137" w:rsidRPr="004301C7" w:rsidRDefault="00A91137" w:rsidP="00A91137">
      <w:pPr>
        <w:pStyle w:val="Default"/>
        <w:jc w:val="both"/>
        <w:rPr>
          <w:sz w:val="22"/>
          <w:szCs w:val="22"/>
        </w:rPr>
      </w:pPr>
    </w:p>
    <w:p w14:paraId="0762A0A3" w14:textId="77777777" w:rsidR="00A91137" w:rsidRPr="004301C7" w:rsidRDefault="00A91137" w:rsidP="00A91137">
      <w:pPr>
        <w:pStyle w:val="Default"/>
        <w:jc w:val="both"/>
        <w:rPr>
          <w:sz w:val="22"/>
          <w:szCs w:val="22"/>
        </w:rPr>
      </w:pPr>
      <w:r w:rsidRPr="004301C7">
        <w:rPr>
          <w:sz w:val="22"/>
          <w:szCs w:val="22"/>
        </w:rPr>
        <w:t xml:space="preserve">I dati identificativi dei soggetti cui è riferita la titolarità effettiva sono: </w:t>
      </w:r>
    </w:p>
    <w:p w14:paraId="6DB93CCB" w14:textId="77777777" w:rsidR="00A91137" w:rsidRPr="004301C7" w:rsidRDefault="00A91137" w:rsidP="00A91137">
      <w:pPr>
        <w:pStyle w:val="Default"/>
        <w:numPr>
          <w:ilvl w:val="0"/>
          <w:numId w:val="3"/>
        </w:numPr>
        <w:ind w:left="357" w:hanging="357"/>
        <w:jc w:val="both"/>
        <w:rPr>
          <w:sz w:val="22"/>
          <w:szCs w:val="22"/>
        </w:rPr>
      </w:pPr>
      <w:r w:rsidRPr="004301C7">
        <w:rPr>
          <w:sz w:val="22"/>
          <w:szCs w:val="22"/>
        </w:rPr>
        <w:t xml:space="preserve">il nome e il cognome; </w:t>
      </w:r>
    </w:p>
    <w:p w14:paraId="765E1EB2" w14:textId="77777777" w:rsidR="00A91137" w:rsidRPr="004301C7" w:rsidRDefault="00A91137" w:rsidP="00A91137">
      <w:pPr>
        <w:pStyle w:val="Default"/>
        <w:numPr>
          <w:ilvl w:val="0"/>
          <w:numId w:val="3"/>
        </w:numPr>
        <w:ind w:left="357" w:hanging="357"/>
        <w:jc w:val="both"/>
        <w:rPr>
          <w:sz w:val="22"/>
          <w:szCs w:val="22"/>
        </w:rPr>
      </w:pPr>
      <w:r w:rsidRPr="004301C7">
        <w:rPr>
          <w:sz w:val="22"/>
          <w:szCs w:val="22"/>
        </w:rPr>
        <w:t xml:space="preserve">il luogo e la data di nascita; </w:t>
      </w:r>
    </w:p>
    <w:p w14:paraId="13CC82AF" w14:textId="77777777" w:rsidR="00A91137" w:rsidRPr="00A91137" w:rsidRDefault="00A91137" w:rsidP="00A91137">
      <w:pPr>
        <w:pStyle w:val="Default"/>
        <w:numPr>
          <w:ilvl w:val="0"/>
          <w:numId w:val="3"/>
        </w:numPr>
        <w:ind w:left="357" w:hanging="357"/>
        <w:jc w:val="both"/>
        <w:rPr>
          <w:sz w:val="22"/>
          <w:szCs w:val="22"/>
        </w:rPr>
      </w:pPr>
      <w:r w:rsidRPr="004301C7">
        <w:rPr>
          <w:sz w:val="22"/>
          <w:szCs w:val="22"/>
        </w:rPr>
        <w:t>a residenza anagrafica;</w:t>
      </w:r>
    </w:p>
    <w:p w14:paraId="27BE3C55" w14:textId="77777777" w:rsidR="00A91137" w:rsidRPr="004301C7" w:rsidRDefault="00A91137" w:rsidP="00A91137">
      <w:pPr>
        <w:pStyle w:val="Paragrafoelenco"/>
        <w:numPr>
          <w:ilvl w:val="0"/>
          <w:numId w:val="3"/>
        </w:numPr>
        <w:autoSpaceDE w:val="0"/>
        <w:autoSpaceDN w:val="0"/>
        <w:adjustRightInd w:val="0"/>
        <w:spacing w:after="0" w:line="240" w:lineRule="auto"/>
        <w:ind w:left="357" w:hanging="357"/>
        <w:jc w:val="both"/>
        <w:rPr>
          <w:rFonts w:ascii="Times New Roman" w:hAnsi="Times New Roman" w:cs="Times New Roman"/>
          <w:color w:val="000000"/>
        </w:rPr>
      </w:pPr>
      <w:r w:rsidRPr="004301C7">
        <w:rPr>
          <w:rFonts w:ascii="Times New Roman" w:hAnsi="Times New Roman" w:cs="Times New Roman"/>
          <w:bCs/>
          <w:color w:val="000000"/>
        </w:rPr>
        <w:t>il domicilio</w:t>
      </w:r>
      <w:r w:rsidRPr="004301C7">
        <w:rPr>
          <w:rFonts w:ascii="Times New Roman" w:hAnsi="Times New Roman" w:cs="Times New Roman"/>
          <w:color w:val="000000"/>
        </w:rPr>
        <w:t xml:space="preserve">, se diverso dalla residenza anagrafica; </w:t>
      </w:r>
    </w:p>
    <w:p w14:paraId="481D4AAA" w14:textId="77777777" w:rsidR="00A91137" w:rsidRPr="004301C7" w:rsidRDefault="00A91137" w:rsidP="00A91137">
      <w:pPr>
        <w:pStyle w:val="Paragrafoelenco"/>
        <w:numPr>
          <w:ilvl w:val="0"/>
          <w:numId w:val="3"/>
        </w:numPr>
        <w:autoSpaceDE w:val="0"/>
        <w:autoSpaceDN w:val="0"/>
        <w:adjustRightInd w:val="0"/>
        <w:spacing w:after="0" w:line="240" w:lineRule="auto"/>
        <w:ind w:left="357" w:hanging="357"/>
        <w:jc w:val="both"/>
        <w:rPr>
          <w:rFonts w:ascii="Times New Roman" w:hAnsi="Times New Roman" w:cs="Times New Roman"/>
          <w:color w:val="000000"/>
        </w:rPr>
      </w:pPr>
      <w:r w:rsidRPr="004301C7">
        <w:rPr>
          <w:rFonts w:ascii="Times New Roman" w:hAnsi="Times New Roman" w:cs="Times New Roman"/>
          <w:color w:val="000000"/>
        </w:rPr>
        <w:t xml:space="preserve">il codice fiscale. </w:t>
      </w:r>
    </w:p>
    <w:p w14:paraId="26C64808" w14:textId="77777777" w:rsidR="00A91137" w:rsidRPr="00A91137" w:rsidRDefault="00A91137" w:rsidP="00A91137">
      <w:pPr>
        <w:autoSpaceDE w:val="0"/>
        <w:autoSpaceDN w:val="0"/>
        <w:adjustRightInd w:val="0"/>
        <w:spacing w:after="0" w:line="240" w:lineRule="auto"/>
        <w:jc w:val="both"/>
        <w:rPr>
          <w:rFonts w:ascii="Times New Roman" w:hAnsi="Times New Roman" w:cs="Times New Roman"/>
          <w:color w:val="000000"/>
        </w:rPr>
      </w:pPr>
    </w:p>
    <w:p w14:paraId="1FC62071" w14:textId="77777777" w:rsidR="00A91137" w:rsidRPr="00A91137" w:rsidRDefault="00A91137" w:rsidP="00A9113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2. CRITERI PER L’INDIVIDUAZIONE DEL TITOLARE EFFETTIVO </w:t>
      </w:r>
    </w:p>
    <w:p w14:paraId="0ED7581C" w14:textId="77777777" w:rsidR="00A91137" w:rsidRPr="00A91137" w:rsidRDefault="00A91137" w:rsidP="00A9113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color w:val="000000"/>
        </w:rPr>
        <w:t>Le “</w:t>
      </w:r>
      <w:r w:rsidRPr="00A91137">
        <w:rPr>
          <w:rFonts w:ascii="Times New Roman" w:hAnsi="Times New Roman" w:cs="Times New Roman"/>
          <w:i/>
          <w:iCs/>
          <w:color w:val="000000"/>
        </w:rPr>
        <w:t>Linee Guida per lo svolgimento delle attività di controllo e rendicontazione degli interventi PNRR di competenza delle Amministrazioni centrali e dei Soggetti attuatori</w:t>
      </w:r>
      <w:r w:rsidRPr="00A91137">
        <w:rPr>
          <w:rFonts w:ascii="Times New Roman" w:hAnsi="Times New Roman" w:cs="Times New Roman"/>
          <w:color w:val="000000"/>
        </w:rPr>
        <w:t xml:space="preserve">” emanate dal MEF -Servizio centrale per il PNRR con circolare n.30 dell’11 agosto 2022, nel fare riferimento al d.lgs. n. 231/2007, come modificato dal d.lgs. n.125 del 2019, richiama l’applicazione di </w:t>
      </w:r>
      <w:r w:rsidRPr="00A91137">
        <w:rPr>
          <w:rFonts w:ascii="Times New Roman" w:hAnsi="Times New Roman" w:cs="Times New Roman"/>
          <w:b/>
          <w:bCs/>
          <w:color w:val="000000"/>
        </w:rPr>
        <w:t xml:space="preserve">3 criteri alternativi per l'individuazione del titolare effettivo: </w:t>
      </w:r>
    </w:p>
    <w:p w14:paraId="765BE177" w14:textId="77777777" w:rsidR="00A91137" w:rsidRPr="00A91137" w:rsidRDefault="00A91137" w:rsidP="00A9113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1. criterio dell’assetto proprietario: </w:t>
      </w:r>
      <w:r w:rsidRPr="00A91137">
        <w:rPr>
          <w:rFonts w:ascii="Times New Roman" w:hAnsi="Times New Roman" w:cs="Times New Roman"/>
          <w:color w:val="000000"/>
        </w:rPr>
        <w:t xml:space="preserve">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3DE59462" w14:textId="77777777" w:rsidR="00A91137" w:rsidRPr="00A91137" w:rsidRDefault="00A91137" w:rsidP="00A9113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2. criterio del controllo: </w:t>
      </w:r>
      <w:r w:rsidRPr="00A91137">
        <w:rPr>
          <w:rFonts w:ascii="Times New Roman" w:hAnsi="Times New Roman" w:cs="Times New Roman"/>
          <w:color w:val="000000"/>
        </w:rPr>
        <w:t xml:space="preserve">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2B7A3AB6" w14:textId="77777777" w:rsidR="00A91137" w:rsidRPr="00A91137" w:rsidRDefault="00A91137" w:rsidP="00A91137">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3. criterio residuale: </w:t>
      </w:r>
      <w:r w:rsidRPr="00A91137">
        <w:rPr>
          <w:rFonts w:ascii="Times New Roman" w:hAnsi="Times New Roman" w:cs="Times New Roman"/>
          <w:color w:val="000000"/>
        </w:rPr>
        <w:t xml:space="preserve">questo criterio stabilisce che, se non sono stati individuati i titolari effettivi con i precedenti due criteri, quest’ultimo vada individuato in colui che esercita poteri di amministrazione o direzione della società. </w:t>
      </w:r>
    </w:p>
    <w:p w14:paraId="0B2B1A0F" w14:textId="77777777" w:rsidR="00A91137" w:rsidRPr="00A91137" w:rsidRDefault="00A91137" w:rsidP="00FE340E">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color w:val="000000"/>
        </w:rPr>
        <w:lastRenderedPageBreak/>
        <w:t>Nel caso in cui si faccia ricorso al subappalto (se previsto dall’Avviso/Bando di gara e dal Contratto di appalto) la comunicazione dei dati relativi al titolare effettivo dovr</w:t>
      </w:r>
      <w:r w:rsidR="006C4098">
        <w:rPr>
          <w:rFonts w:ascii="Times New Roman" w:hAnsi="Times New Roman" w:cs="Times New Roman"/>
          <w:color w:val="000000"/>
        </w:rPr>
        <w:t>à</w:t>
      </w:r>
      <w:r w:rsidRPr="00A91137">
        <w:rPr>
          <w:rFonts w:ascii="Times New Roman" w:hAnsi="Times New Roman" w:cs="Times New Roman"/>
          <w:color w:val="000000"/>
        </w:rPr>
        <w:t xml:space="preserve"> essere effettuat</w:t>
      </w:r>
      <w:r w:rsidR="006C4098">
        <w:rPr>
          <w:rFonts w:ascii="Times New Roman" w:hAnsi="Times New Roman" w:cs="Times New Roman"/>
          <w:color w:val="000000"/>
        </w:rPr>
        <w:t>a</w:t>
      </w:r>
      <w:r w:rsidRPr="00A91137">
        <w:rPr>
          <w:rFonts w:ascii="Times New Roman" w:hAnsi="Times New Roman" w:cs="Times New Roman"/>
          <w:color w:val="000000"/>
        </w:rPr>
        <w:t xml:space="preserve"> oltre che dall’aggiudicatario dell’appalto, anche dal soggetto terzo (subappaltatore) cui l’appaltatore affida in tutto o in parte, l'esecuzione del lavoro ad esso appaltato. </w:t>
      </w:r>
    </w:p>
    <w:p w14:paraId="0F935EEF" w14:textId="77777777" w:rsidR="00A91137" w:rsidRPr="00A91137" w:rsidRDefault="00A91137" w:rsidP="00FE340E">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color w:val="000000"/>
        </w:rPr>
        <w:t xml:space="preserve">In caso di Raggruppamento Temporaneo di Imprese (RTI) la comunicazione dei dati sul titolare effettivo dovrà essere eseguita da tutti gli operatori economici che fanno parte del Raggruppamento. </w:t>
      </w:r>
    </w:p>
    <w:p w14:paraId="23ADB41E" w14:textId="77777777" w:rsidR="00FE340E" w:rsidRPr="00FE340E" w:rsidRDefault="00FE340E" w:rsidP="00FE340E">
      <w:pPr>
        <w:autoSpaceDE w:val="0"/>
        <w:autoSpaceDN w:val="0"/>
        <w:adjustRightInd w:val="0"/>
        <w:spacing w:after="0" w:line="240" w:lineRule="auto"/>
        <w:jc w:val="both"/>
        <w:rPr>
          <w:rFonts w:ascii="Times New Roman" w:hAnsi="Times New Roman" w:cs="Times New Roman"/>
          <w:b/>
          <w:bCs/>
          <w:color w:val="000000"/>
        </w:rPr>
      </w:pPr>
    </w:p>
    <w:p w14:paraId="59E3ACB4" w14:textId="77777777" w:rsidR="00A91137" w:rsidRPr="00A91137" w:rsidRDefault="00A91137" w:rsidP="00FE340E">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3. </w:t>
      </w:r>
      <w:r w:rsidR="005669CB">
        <w:rPr>
          <w:rFonts w:ascii="Times New Roman" w:hAnsi="Times New Roman" w:cs="Times New Roman"/>
          <w:b/>
          <w:bCs/>
          <w:color w:val="000000"/>
        </w:rPr>
        <w:t xml:space="preserve">PRINCIPALI RIFERIMENTI NORMATIVI </w:t>
      </w:r>
    </w:p>
    <w:p w14:paraId="0E654C03" w14:textId="77777777" w:rsidR="00A91137" w:rsidRPr="00A91137" w:rsidRDefault="00A91137" w:rsidP="00FE340E">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D.Lgs. 21 novembre 2007 n. 231 </w:t>
      </w:r>
    </w:p>
    <w:p w14:paraId="5F21C1AA" w14:textId="77777777" w:rsidR="00A91137" w:rsidRPr="00A91137" w:rsidRDefault="00A91137" w:rsidP="00FE340E">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i/>
          <w:iCs/>
          <w:color w:val="000000"/>
        </w:rPr>
        <w:t>Attuazione della direttiva 2005/60/CE concernente la prevenzione dell'utilizzo del sistema finanziario a scopo di riciclaggio dei proventi di attività criminose e di finanziamento del terrorismo nonché della direttiva 2006/70/CE che ne reca misure di esecuzione</w:t>
      </w:r>
      <w:r w:rsidRPr="00A91137">
        <w:rPr>
          <w:rFonts w:ascii="Times New Roman" w:hAnsi="Times New Roman" w:cs="Times New Roman"/>
          <w:color w:val="000000"/>
        </w:rPr>
        <w:t xml:space="preserve">. </w:t>
      </w:r>
    </w:p>
    <w:p w14:paraId="2D0F87E7" w14:textId="77777777" w:rsidR="00A91137" w:rsidRPr="00A91137" w:rsidRDefault="00A91137" w:rsidP="00FE340E">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b/>
          <w:bCs/>
          <w:color w:val="000000"/>
        </w:rPr>
        <w:t xml:space="preserve">Art. 1. </w:t>
      </w:r>
      <w:r w:rsidRPr="00A91137">
        <w:rPr>
          <w:rFonts w:ascii="Times New Roman" w:hAnsi="Times New Roman" w:cs="Times New Roman"/>
          <w:b/>
          <w:bCs/>
          <w:i/>
          <w:iCs/>
          <w:color w:val="000000"/>
        </w:rPr>
        <w:t xml:space="preserve">Definizioni </w:t>
      </w:r>
    </w:p>
    <w:p w14:paraId="47DD6709" w14:textId="77777777" w:rsidR="00A91137" w:rsidRPr="00A91137" w:rsidRDefault="00A91137" w:rsidP="00FE340E">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i/>
          <w:iCs/>
          <w:color w:val="000000"/>
        </w:rPr>
        <w:t xml:space="preserve">…omissis… </w:t>
      </w:r>
    </w:p>
    <w:p w14:paraId="13C68E01" w14:textId="77777777" w:rsidR="00A91137" w:rsidRPr="00A91137" w:rsidRDefault="00A91137" w:rsidP="00FE340E">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color w:val="000000"/>
        </w:rPr>
        <w:t xml:space="preserve">2. Nel presente decreto s’intendono per: </w:t>
      </w:r>
    </w:p>
    <w:p w14:paraId="434265A6" w14:textId="77777777" w:rsidR="00A91137" w:rsidRPr="00A91137" w:rsidRDefault="00A91137" w:rsidP="00FE340E">
      <w:pPr>
        <w:autoSpaceDE w:val="0"/>
        <w:autoSpaceDN w:val="0"/>
        <w:adjustRightInd w:val="0"/>
        <w:spacing w:after="0" w:line="240" w:lineRule="auto"/>
        <w:jc w:val="both"/>
        <w:rPr>
          <w:rFonts w:ascii="Times New Roman" w:hAnsi="Times New Roman" w:cs="Times New Roman"/>
          <w:color w:val="000000"/>
        </w:rPr>
      </w:pPr>
      <w:r w:rsidRPr="00A91137">
        <w:rPr>
          <w:rFonts w:ascii="Times New Roman" w:hAnsi="Times New Roman" w:cs="Times New Roman"/>
          <w:i/>
          <w:iCs/>
          <w:color w:val="000000"/>
        </w:rPr>
        <w:t xml:space="preserve">…omissis… </w:t>
      </w:r>
    </w:p>
    <w:p w14:paraId="65426E5D" w14:textId="77777777" w:rsidR="0051675F" w:rsidRPr="00FE340E" w:rsidRDefault="00A91137" w:rsidP="00FE340E">
      <w:pPr>
        <w:jc w:val="both"/>
        <w:rPr>
          <w:rFonts w:ascii="Times New Roman" w:hAnsi="Times New Roman" w:cs="Times New Roman"/>
          <w:color w:val="000000"/>
        </w:rPr>
      </w:pPr>
      <w:proofErr w:type="spellStart"/>
      <w:r w:rsidRPr="00A91137">
        <w:rPr>
          <w:rFonts w:ascii="Times New Roman" w:hAnsi="Times New Roman" w:cs="Times New Roman"/>
          <w:color w:val="000000"/>
        </w:rPr>
        <w:t>pp</w:t>
      </w:r>
      <w:proofErr w:type="spellEnd"/>
      <w:r w:rsidRPr="00A91137">
        <w:rPr>
          <w:rFonts w:ascii="Times New Roman" w:hAnsi="Times New Roman" w:cs="Times New Roman"/>
          <w:color w:val="000000"/>
        </w:rPr>
        <w:t xml:space="preserve">) </w:t>
      </w:r>
      <w:r w:rsidRPr="00A91137">
        <w:rPr>
          <w:rFonts w:ascii="Times New Roman" w:hAnsi="Times New Roman" w:cs="Times New Roman"/>
          <w:b/>
          <w:bCs/>
          <w:color w:val="000000"/>
        </w:rPr>
        <w:t>titolare effettivo</w:t>
      </w:r>
      <w:r w:rsidRPr="00A91137">
        <w:rPr>
          <w:rFonts w:ascii="Times New Roman" w:hAnsi="Times New Roman" w:cs="Times New Roman"/>
          <w:color w:val="000000"/>
        </w:rPr>
        <w:t>: la persona fisica o le persone fisiche, diverse dal cliente, nell'interesse della quale o delle quali, in ultima istanza, il rapporto continuativo è i</w:t>
      </w:r>
      <w:r w:rsidR="00B9519A">
        <w:rPr>
          <w:rFonts w:ascii="Times New Roman" w:hAnsi="Times New Roman" w:cs="Times New Roman"/>
          <w:color w:val="000000"/>
        </w:rPr>
        <w:t>n</w:t>
      </w:r>
      <w:r w:rsidRPr="00A91137">
        <w:rPr>
          <w:rFonts w:ascii="Times New Roman" w:hAnsi="Times New Roman" w:cs="Times New Roman"/>
          <w:color w:val="000000"/>
        </w:rPr>
        <w:t xml:space="preserve">staurato, la prestazione professionale è resa o l'operazione è eseguita; </w:t>
      </w:r>
    </w:p>
    <w:p w14:paraId="4090D68D" w14:textId="77777777" w:rsidR="00A91137" w:rsidRPr="00FE340E" w:rsidRDefault="00A91137" w:rsidP="00FE340E">
      <w:pPr>
        <w:pStyle w:val="Default"/>
        <w:jc w:val="both"/>
        <w:rPr>
          <w:sz w:val="22"/>
          <w:szCs w:val="22"/>
        </w:rPr>
      </w:pPr>
      <w:r w:rsidRPr="00FE340E">
        <w:rPr>
          <w:b/>
          <w:bCs/>
          <w:sz w:val="22"/>
          <w:szCs w:val="22"/>
        </w:rPr>
        <w:t xml:space="preserve">Art. 20. </w:t>
      </w:r>
      <w:r w:rsidRPr="00FE340E">
        <w:rPr>
          <w:b/>
          <w:bCs/>
          <w:i/>
          <w:iCs/>
          <w:sz w:val="22"/>
          <w:szCs w:val="22"/>
        </w:rPr>
        <w:t xml:space="preserve">Criteri per la determinazione della titolarità effettiva di clienti diversi dalle persone fisiche </w:t>
      </w:r>
    </w:p>
    <w:p w14:paraId="0F83C73A" w14:textId="77777777" w:rsidR="00A91137" w:rsidRPr="00FE340E" w:rsidRDefault="00A91137" w:rsidP="00FE340E">
      <w:pPr>
        <w:pStyle w:val="Default"/>
        <w:jc w:val="both"/>
        <w:rPr>
          <w:sz w:val="22"/>
          <w:szCs w:val="22"/>
        </w:rPr>
      </w:pPr>
      <w:r w:rsidRPr="00FE340E">
        <w:rPr>
          <w:sz w:val="22"/>
          <w:szCs w:val="22"/>
        </w:rPr>
        <w:t xml:space="preserve">1. Il titolare effettivo di clienti diversi dalle persone fisiche coincide con la persona fisica o le persone fisiche cui, in ultima istanza, è attribuibile la proprietà diretta o indiretta dell'ente ovvero il relativo controllo. </w:t>
      </w:r>
    </w:p>
    <w:p w14:paraId="4D7EB40B" w14:textId="77777777" w:rsidR="00A91137" w:rsidRPr="00FE340E" w:rsidRDefault="00A91137" w:rsidP="00FE340E">
      <w:pPr>
        <w:pStyle w:val="Default"/>
        <w:jc w:val="both"/>
        <w:rPr>
          <w:sz w:val="22"/>
          <w:szCs w:val="22"/>
        </w:rPr>
      </w:pPr>
      <w:r w:rsidRPr="00FE340E">
        <w:rPr>
          <w:sz w:val="22"/>
          <w:szCs w:val="22"/>
        </w:rPr>
        <w:t xml:space="preserve">2. Nel caso in cui il cliente sia una società di capitali: </w:t>
      </w:r>
    </w:p>
    <w:p w14:paraId="10CDD7C6" w14:textId="77777777" w:rsidR="00A91137" w:rsidRPr="00FE340E" w:rsidRDefault="00A91137" w:rsidP="00FE340E">
      <w:pPr>
        <w:pStyle w:val="Default"/>
        <w:jc w:val="both"/>
        <w:rPr>
          <w:sz w:val="22"/>
          <w:szCs w:val="22"/>
        </w:rPr>
      </w:pPr>
      <w:r w:rsidRPr="00FE340E">
        <w:rPr>
          <w:sz w:val="22"/>
          <w:szCs w:val="22"/>
        </w:rPr>
        <w:t xml:space="preserve">a) costituisce indicazione di proprietà diretta la titolarità di una partecipazione superiore al 25 per cento del capitale del cliente, detenuta da una persona fisica; </w:t>
      </w:r>
    </w:p>
    <w:p w14:paraId="43DB8F3C" w14:textId="77777777" w:rsidR="00A91137" w:rsidRPr="00FE340E" w:rsidRDefault="00A91137" w:rsidP="00FE340E">
      <w:pPr>
        <w:pStyle w:val="Default"/>
        <w:jc w:val="both"/>
        <w:rPr>
          <w:sz w:val="22"/>
          <w:szCs w:val="22"/>
        </w:rPr>
      </w:pPr>
      <w:r w:rsidRPr="00FE340E">
        <w:rPr>
          <w:sz w:val="22"/>
          <w:szCs w:val="22"/>
        </w:rPr>
        <w:t xml:space="preserve">b) costituisce indicazione di proprietà indiretta la titolarità di una percentuale di partecipazioni superiore al 25 per cento del capitale del cliente, posseduto per il tramite di società controllate, società fiduciarie o per interposta persona. </w:t>
      </w:r>
    </w:p>
    <w:p w14:paraId="5912D580" w14:textId="77777777" w:rsidR="00A91137" w:rsidRPr="00FE340E" w:rsidRDefault="00A91137" w:rsidP="00FE340E">
      <w:pPr>
        <w:pStyle w:val="Default"/>
        <w:jc w:val="both"/>
        <w:rPr>
          <w:sz w:val="22"/>
          <w:szCs w:val="22"/>
        </w:rPr>
      </w:pPr>
      <w:r w:rsidRPr="00FE340E">
        <w:rPr>
          <w:sz w:val="22"/>
          <w:szCs w:val="22"/>
        </w:rPr>
        <w:t xml:space="preserve">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42956E22" w14:textId="77777777" w:rsidR="00A91137" w:rsidRPr="00FE340E" w:rsidRDefault="00A91137" w:rsidP="00FE340E">
      <w:pPr>
        <w:pStyle w:val="Default"/>
        <w:jc w:val="both"/>
        <w:rPr>
          <w:sz w:val="22"/>
          <w:szCs w:val="22"/>
        </w:rPr>
      </w:pPr>
      <w:r w:rsidRPr="00FE340E">
        <w:rPr>
          <w:sz w:val="22"/>
          <w:szCs w:val="22"/>
        </w:rPr>
        <w:t xml:space="preserve">a) del controllo della maggioranza dei voti esercitabili in assemblea ordinaria; </w:t>
      </w:r>
    </w:p>
    <w:p w14:paraId="79AEF7FF" w14:textId="77777777" w:rsidR="00A91137" w:rsidRPr="00FE340E" w:rsidRDefault="00A91137" w:rsidP="00FE340E">
      <w:pPr>
        <w:pStyle w:val="Default"/>
        <w:jc w:val="both"/>
        <w:rPr>
          <w:sz w:val="22"/>
          <w:szCs w:val="22"/>
        </w:rPr>
      </w:pPr>
      <w:r w:rsidRPr="00FE340E">
        <w:rPr>
          <w:sz w:val="22"/>
          <w:szCs w:val="22"/>
        </w:rPr>
        <w:t xml:space="preserve">b) del controllo di voti sufficienti per esercitare un'influenza dominante in assemblea ordinaria; </w:t>
      </w:r>
    </w:p>
    <w:p w14:paraId="486CF62F" w14:textId="77777777" w:rsidR="00A91137" w:rsidRPr="00FE340E" w:rsidRDefault="00A91137" w:rsidP="00FE340E">
      <w:pPr>
        <w:pStyle w:val="Default"/>
        <w:jc w:val="both"/>
        <w:rPr>
          <w:sz w:val="22"/>
          <w:szCs w:val="22"/>
        </w:rPr>
      </w:pPr>
      <w:r w:rsidRPr="00FE340E">
        <w:rPr>
          <w:sz w:val="22"/>
          <w:szCs w:val="22"/>
        </w:rPr>
        <w:t xml:space="preserve">c) dell'esistenza di particolari vincoli contrattuali che consentano di esercitare un'influenza dominante. </w:t>
      </w:r>
    </w:p>
    <w:p w14:paraId="172D4F5B" w14:textId="77777777" w:rsidR="00A91137" w:rsidRPr="00FE340E" w:rsidRDefault="00A91137" w:rsidP="00FE340E">
      <w:pPr>
        <w:pStyle w:val="Default"/>
        <w:jc w:val="both"/>
        <w:rPr>
          <w:sz w:val="22"/>
          <w:szCs w:val="22"/>
        </w:rPr>
      </w:pPr>
      <w:r w:rsidRPr="00FE340E">
        <w:rPr>
          <w:sz w:val="22"/>
          <w:szCs w:val="22"/>
        </w:rPr>
        <w:t xml:space="preserve">4. Nel caso in cui il cliente sia una persona giuridica privata, di cui al </w:t>
      </w:r>
      <w:r w:rsidRPr="00FE340E">
        <w:rPr>
          <w:i/>
          <w:iCs/>
          <w:sz w:val="22"/>
          <w:szCs w:val="22"/>
        </w:rPr>
        <w:t>decreto del Presidente della Repubblica 10 febbraio 2000, n. 361</w:t>
      </w:r>
      <w:r w:rsidRPr="00FE340E">
        <w:rPr>
          <w:sz w:val="22"/>
          <w:szCs w:val="22"/>
        </w:rPr>
        <w:t xml:space="preserve">, sono cumulativamente individuati, come titolari effettivi: </w:t>
      </w:r>
    </w:p>
    <w:p w14:paraId="404A0736" w14:textId="77777777" w:rsidR="00A91137" w:rsidRPr="00FE340E" w:rsidRDefault="00A91137" w:rsidP="00FE340E">
      <w:pPr>
        <w:pStyle w:val="Default"/>
        <w:jc w:val="both"/>
        <w:rPr>
          <w:sz w:val="22"/>
          <w:szCs w:val="22"/>
        </w:rPr>
      </w:pPr>
      <w:r w:rsidRPr="00FE340E">
        <w:rPr>
          <w:sz w:val="22"/>
          <w:szCs w:val="22"/>
        </w:rPr>
        <w:t xml:space="preserve">a) i fondatori, ove in vita; </w:t>
      </w:r>
    </w:p>
    <w:p w14:paraId="73038273" w14:textId="77777777" w:rsidR="00A91137" w:rsidRPr="00FE340E" w:rsidRDefault="00A91137" w:rsidP="00FE340E">
      <w:pPr>
        <w:pStyle w:val="Default"/>
        <w:jc w:val="both"/>
        <w:rPr>
          <w:sz w:val="22"/>
          <w:szCs w:val="22"/>
        </w:rPr>
      </w:pPr>
      <w:r w:rsidRPr="00FE340E">
        <w:rPr>
          <w:sz w:val="22"/>
          <w:szCs w:val="22"/>
        </w:rPr>
        <w:t xml:space="preserve">b) i beneficiari, quando individuati o facilmente individuabili; </w:t>
      </w:r>
    </w:p>
    <w:p w14:paraId="68B05BD4" w14:textId="77777777" w:rsidR="00A91137" w:rsidRPr="00FE340E" w:rsidRDefault="00A91137" w:rsidP="00FE340E">
      <w:pPr>
        <w:pStyle w:val="Default"/>
        <w:jc w:val="both"/>
        <w:rPr>
          <w:sz w:val="22"/>
          <w:szCs w:val="22"/>
        </w:rPr>
      </w:pPr>
      <w:r w:rsidRPr="00FE340E">
        <w:rPr>
          <w:sz w:val="22"/>
          <w:szCs w:val="22"/>
        </w:rPr>
        <w:t xml:space="preserve">c) i titolari di poteri di rappresentanza legale, direzione e amministrazione. </w:t>
      </w:r>
    </w:p>
    <w:p w14:paraId="50BFBD24" w14:textId="77777777" w:rsidR="00A91137" w:rsidRPr="00FE340E" w:rsidRDefault="00A91137" w:rsidP="00FE340E">
      <w:pPr>
        <w:pStyle w:val="Default"/>
        <w:jc w:val="both"/>
        <w:rPr>
          <w:sz w:val="22"/>
          <w:szCs w:val="22"/>
        </w:rPr>
      </w:pPr>
      <w:r w:rsidRPr="00FE340E">
        <w:rPr>
          <w:sz w:val="22"/>
          <w:szCs w:val="22"/>
        </w:rPr>
        <w:t xml:space="preserve">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w:t>
      </w:r>
    </w:p>
    <w:p w14:paraId="66C7E1D9" w14:textId="77777777" w:rsidR="00A91137" w:rsidRPr="00FE340E" w:rsidRDefault="00A91137" w:rsidP="00FE340E">
      <w:pPr>
        <w:pStyle w:val="Default"/>
        <w:jc w:val="both"/>
        <w:rPr>
          <w:sz w:val="22"/>
          <w:szCs w:val="22"/>
        </w:rPr>
      </w:pPr>
      <w:r w:rsidRPr="00FE340E">
        <w:rPr>
          <w:sz w:val="22"/>
          <w:szCs w:val="22"/>
        </w:rPr>
        <w:t xml:space="preserve">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 </w:t>
      </w:r>
    </w:p>
    <w:p w14:paraId="1D301E85" w14:textId="77777777" w:rsidR="00FE340E" w:rsidRDefault="00FE340E" w:rsidP="00FE340E">
      <w:pPr>
        <w:pStyle w:val="Default"/>
        <w:jc w:val="both"/>
        <w:rPr>
          <w:b/>
          <w:bCs/>
          <w:sz w:val="22"/>
          <w:szCs w:val="22"/>
        </w:rPr>
      </w:pPr>
    </w:p>
    <w:p w14:paraId="5A0FA23E" w14:textId="77777777" w:rsidR="00A91137" w:rsidRPr="005669CB" w:rsidRDefault="00A91137" w:rsidP="00FE340E">
      <w:pPr>
        <w:pStyle w:val="Default"/>
        <w:jc w:val="both"/>
        <w:rPr>
          <w:color w:val="auto"/>
          <w:sz w:val="22"/>
          <w:szCs w:val="22"/>
        </w:rPr>
      </w:pPr>
      <w:r w:rsidRPr="005669CB">
        <w:rPr>
          <w:b/>
          <w:bCs/>
          <w:color w:val="auto"/>
          <w:sz w:val="22"/>
          <w:szCs w:val="22"/>
        </w:rPr>
        <w:t xml:space="preserve">Art. 22. </w:t>
      </w:r>
      <w:r w:rsidRPr="005669CB">
        <w:rPr>
          <w:b/>
          <w:bCs/>
          <w:i/>
          <w:iCs/>
          <w:color w:val="auto"/>
          <w:sz w:val="22"/>
          <w:szCs w:val="22"/>
        </w:rPr>
        <w:t xml:space="preserve">Obblighi del cliente </w:t>
      </w:r>
    </w:p>
    <w:p w14:paraId="24CFFAC5" w14:textId="77777777" w:rsidR="00A91137" w:rsidRPr="005669CB" w:rsidRDefault="00A91137" w:rsidP="00FE340E">
      <w:pPr>
        <w:pStyle w:val="Default"/>
        <w:jc w:val="both"/>
        <w:rPr>
          <w:color w:val="auto"/>
          <w:sz w:val="22"/>
          <w:szCs w:val="22"/>
        </w:rPr>
      </w:pPr>
      <w:r w:rsidRPr="005669CB">
        <w:rPr>
          <w:color w:val="auto"/>
          <w:sz w:val="22"/>
          <w:szCs w:val="22"/>
        </w:rPr>
        <w:t xml:space="preserve">…omissis… </w:t>
      </w:r>
    </w:p>
    <w:p w14:paraId="59D40DAA" w14:textId="77777777" w:rsidR="005669CB" w:rsidRPr="005669CB" w:rsidRDefault="005669CB" w:rsidP="005669CB">
      <w:pPr>
        <w:jc w:val="both"/>
        <w:rPr>
          <w:rFonts w:ascii="Times New Roman" w:hAnsi="Times New Roman" w:cs="Times New Roman"/>
        </w:rPr>
      </w:pPr>
      <w:r w:rsidRPr="005669CB">
        <w:rPr>
          <w:rStyle w:val="provvnumcomma"/>
          <w:rFonts w:ascii="Times New Roman" w:hAnsi="Times New Roman" w:cs="Times New Roman"/>
          <w:shd w:val="clear" w:color="auto" w:fill="FFFFFF"/>
        </w:rPr>
        <w:t>5.</w:t>
      </w:r>
      <w:r w:rsidRPr="005669CB">
        <w:rPr>
          <w:rFonts w:ascii="Times New Roman" w:hAnsi="Times New Roman" w:cs="Times New Roman"/>
          <w:shd w:val="clear" w:color="auto" w:fill="FFFFFF"/>
        </w:rPr>
        <w:t> I fiduciari di trust espressi, disciplinati ai sensi della </w:t>
      </w:r>
      <w:hyperlink r:id="rId8" w:history="1">
        <w:r w:rsidRPr="005669CB">
          <w:rPr>
            <w:rStyle w:val="linkneltesto"/>
            <w:rFonts w:ascii="Times New Roman" w:hAnsi="Times New Roman" w:cs="Times New Roman"/>
            <w:i/>
            <w:iCs/>
            <w:shd w:val="clear" w:color="auto" w:fill="FFFFFF"/>
          </w:rPr>
          <w:t>legge 16 ottobre 1989, n. 364</w:t>
        </w:r>
      </w:hyperlink>
      <w:r w:rsidRPr="005669CB">
        <w:rPr>
          <w:rFonts w:ascii="Times New Roman" w:hAnsi="Times New Roman" w:cs="Times New Roman"/>
          <w:shd w:val="clear" w:color="auto" w:fill="FFFFFF"/>
        </w:rPr>
        <w:t xml:space="preserve">, nonché le persone che esercitano diritti, poteri e facoltà equivalenti in istituti giuridici affini, purché stabiliti o residenti sul territorio della Repubblica italiana, ottengono e detengono informazioni adeguate, accurate e aggiornate sulla titolarità effettiva del trust, o dell'istituto giuridico affine, per tali intendendosi quelle relative all'identità del costituente o dei costituenti, del fiduciario o dei fiduciari, del guardiano o dei guardiani ovvero di altra persona per conto </w:t>
      </w:r>
      <w:r w:rsidRPr="005669CB">
        <w:rPr>
          <w:rFonts w:ascii="Times New Roman" w:hAnsi="Times New Roman" w:cs="Times New Roman"/>
          <w:shd w:val="clear" w:color="auto" w:fill="FFFFFF"/>
        </w:rPr>
        <w:lastRenderedPageBreak/>
        <w:t>del fiduciario, ove esistenti, dei beneficiari o classe di beneficiari e delle altre persone fisiche che esercitano il controllo sul trust o sull'istituto giuridico affine e di qualunque altra persona fisica che esercita, in ultima istanza, il controllo sui beni conferiti nel trust o nell'istituto giuridico affine attraverso la proprietà diretta o indiretta o attraverso altri mezzi. I fiduciari di trust espressi e le persone che esercitano diritti, poteri e facoltà equivalenti in istituti giuridici affini conservano tali informazioni per un periodo non inferiore a cinque anni dalla cessazione del loro stato di fiduciari e le rendono prontamente accessibili alle autorità di cui all'articolo 21, comma 2, lettera a) e b). I medesimi fiduciari che, in tale veste, instaurano un rapporto continuativo o professionale ovvero eseguono una prestazione occasionale dichiarano il proprio stato ai soggetti obbligati.</w:t>
      </w:r>
    </w:p>
    <w:p w14:paraId="371D1224" w14:textId="77777777" w:rsidR="00A91137" w:rsidRPr="00FE340E" w:rsidRDefault="00A91137" w:rsidP="00FE340E">
      <w:pPr>
        <w:pStyle w:val="Default"/>
        <w:jc w:val="both"/>
        <w:rPr>
          <w:sz w:val="22"/>
          <w:szCs w:val="22"/>
        </w:rPr>
      </w:pPr>
      <w:r w:rsidRPr="00FE340E">
        <w:rPr>
          <w:sz w:val="22"/>
          <w:szCs w:val="22"/>
        </w:rPr>
        <w:t xml:space="preserve">. </w:t>
      </w:r>
    </w:p>
    <w:p w14:paraId="714DD1AE" w14:textId="77777777" w:rsidR="00A91137" w:rsidRPr="005669CB" w:rsidRDefault="00A91137" w:rsidP="00FE340E">
      <w:pPr>
        <w:jc w:val="both"/>
        <w:rPr>
          <w:rFonts w:ascii="Times New Roman" w:hAnsi="Times New Roman" w:cs="Times New Roman"/>
        </w:rPr>
      </w:pPr>
    </w:p>
    <w:p w14:paraId="517201E9" w14:textId="77777777" w:rsidR="005669CB" w:rsidRPr="005669CB" w:rsidRDefault="005669CB" w:rsidP="005669CB">
      <w:pPr>
        <w:autoSpaceDE w:val="0"/>
        <w:autoSpaceDN w:val="0"/>
        <w:adjustRightInd w:val="0"/>
        <w:spacing w:after="0" w:line="240" w:lineRule="auto"/>
        <w:jc w:val="both"/>
        <w:rPr>
          <w:rFonts w:ascii="Times New Roman" w:hAnsi="Times New Roman" w:cs="Times New Roman"/>
          <w:color w:val="000000"/>
        </w:rPr>
      </w:pPr>
      <w:r w:rsidRPr="005669CB">
        <w:rPr>
          <w:rFonts w:ascii="Times New Roman" w:hAnsi="Times New Roman" w:cs="Times New Roman"/>
          <w:b/>
          <w:bCs/>
          <w:color w:val="000000"/>
        </w:rPr>
        <w:t xml:space="preserve">D.Lgs. 21 novembre 2007 n. 231 </w:t>
      </w:r>
    </w:p>
    <w:p w14:paraId="1DC031AC" w14:textId="77777777" w:rsidR="006A0F26" w:rsidRPr="005669CB" w:rsidRDefault="005669CB" w:rsidP="00FE340E">
      <w:pPr>
        <w:jc w:val="both"/>
        <w:rPr>
          <w:rFonts w:ascii="Times New Roman" w:hAnsi="Times New Roman" w:cs="Times New Roman"/>
        </w:rPr>
      </w:pPr>
      <w:r w:rsidRPr="005669CB">
        <w:rPr>
          <w:rFonts w:ascii="Times New Roman" w:eastAsia="Times New Roman" w:hAnsi="Times New Roman" w:cs="Times New Roman"/>
          <w:b/>
          <w:bCs/>
          <w:lang w:eastAsia="it-IT"/>
        </w:rPr>
        <w:t>Allegato tecnico</w:t>
      </w:r>
    </w:p>
    <w:p w14:paraId="713E47C8" w14:textId="77777777" w:rsidR="006A0F26" w:rsidRPr="006A0F26" w:rsidRDefault="006A0F26" w:rsidP="006A0F26">
      <w:pPr>
        <w:spacing w:before="100" w:beforeAutospacing="1" w:after="100" w:afterAutospacing="1" w:line="240" w:lineRule="auto"/>
        <w:jc w:val="both"/>
        <w:rPr>
          <w:rFonts w:ascii="Times New Roman" w:eastAsia="Times New Roman" w:hAnsi="Times New Roman" w:cs="Times New Roman"/>
          <w:color w:val="000000"/>
          <w:lang w:eastAsia="it-IT"/>
        </w:rPr>
      </w:pPr>
      <w:r w:rsidRPr="006A0F26">
        <w:rPr>
          <w:rFonts w:ascii="Times New Roman" w:eastAsia="Times New Roman" w:hAnsi="Times New Roman" w:cs="Times New Roman"/>
          <w:b/>
          <w:bCs/>
          <w:color w:val="000000"/>
          <w:lang w:eastAsia="it-IT"/>
        </w:rPr>
        <w:t>Art. 2.</w:t>
      </w:r>
      <w:r w:rsidR="005669CB" w:rsidRPr="005669CB">
        <w:rPr>
          <w:rFonts w:ascii="Times New Roman" w:eastAsia="Times New Roman" w:hAnsi="Times New Roman" w:cs="Times New Roman"/>
          <w:color w:val="000000"/>
          <w:lang w:eastAsia="it-IT"/>
        </w:rPr>
        <w:t xml:space="preserve"> </w:t>
      </w:r>
    </w:p>
    <w:p w14:paraId="7D54BB9D" w14:textId="77777777" w:rsidR="006A0F26" w:rsidRPr="006A0F26" w:rsidRDefault="006A0F26" w:rsidP="006A0F26">
      <w:pPr>
        <w:spacing w:before="100" w:beforeAutospacing="1" w:after="100" w:afterAutospacing="1" w:line="240" w:lineRule="auto"/>
        <w:jc w:val="both"/>
        <w:rPr>
          <w:rFonts w:ascii="Times New Roman" w:eastAsia="Times New Roman" w:hAnsi="Times New Roman" w:cs="Times New Roman"/>
          <w:color w:val="000000"/>
          <w:lang w:eastAsia="it-IT"/>
        </w:rPr>
      </w:pPr>
      <w:r w:rsidRPr="006A0F26">
        <w:rPr>
          <w:rFonts w:ascii="Times New Roman" w:eastAsia="Times New Roman" w:hAnsi="Times New Roman" w:cs="Times New Roman"/>
          <w:color w:val="000000"/>
          <w:lang w:eastAsia="it-IT"/>
        </w:rPr>
        <w:t>1.  Per titolare effettivo s'intende:</w:t>
      </w:r>
    </w:p>
    <w:p w14:paraId="36AE6EE5" w14:textId="77777777" w:rsidR="006A0F26" w:rsidRPr="006A0F26" w:rsidRDefault="006A0F26" w:rsidP="006A0F26">
      <w:pPr>
        <w:spacing w:after="0" w:line="240" w:lineRule="auto"/>
        <w:ind w:firstLine="400"/>
        <w:jc w:val="both"/>
        <w:rPr>
          <w:rFonts w:ascii="Times New Roman" w:eastAsia="Times New Roman" w:hAnsi="Times New Roman" w:cs="Times New Roman"/>
          <w:color w:val="000000"/>
          <w:lang w:eastAsia="it-IT"/>
        </w:rPr>
      </w:pPr>
      <w:r w:rsidRPr="006A0F26">
        <w:rPr>
          <w:rFonts w:ascii="Times New Roman" w:eastAsia="Times New Roman" w:hAnsi="Times New Roman" w:cs="Times New Roman"/>
          <w:color w:val="000000"/>
          <w:lang w:eastAsia="it-IT"/>
        </w:rPr>
        <w:t>a)  in caso di società:</w:t>
      </w:r>
    </w:p>
    <w:p w14:paraId="5CE12094" w14:textId="77777777" w:rsidR="006A0F26" w:rsidRPr="006A0F26" w:rsidRDefault="006A0F26" w:rsidP="006A0F26">
      <w:pPr>
        <w:spacing w:after="0" w:line="240" w:lineRule="auto"/>
        <w:ind w:firstLine="600"/>
        <w:jc w:val="both"/>
        <w:rPr>
          <w:rFonts w:ascii="Times New Roman" w:eastAsia="Times New Roman" w:hAnsi="Times New Roman" w:cs="Times New Roman"/>
          <w:color w:val="000000"/>
          <w:lang w:eastAsia="it-IT"/>
        </w:rPr>
      </w:pPr>
      <w:r w:rsidRPr="006A0F26">
        <w:rPr>
          <w:rFonts w:ascii="Times New Roman" w:eastAsia="Times New Roman" w:hAnsi="Times New Roman" w:cs="Times New Roman"/>
          <w:color w:val="000000"/>
          <w:lang w:eastAsia="it-IT"/>
        </w:rPr>
        <w:t>1)  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14:paraId="43ABC25B" w14:textId="77777777" w:rsidR="006A0F26" w:rsidRPr="006A0F26" w:rsidRDefault="006A0F26" w:rsidP="006A0F26">
      <w:pPr>
        <w:spacing w:after="0" w:line="240" w:lineRule="auto"/>
        <w:ind w:firstLine="600"/>
        <w:jc w:val="both"/>
        <w:rPr>
          <w:rFonts w:ascii="Times New Roman" w:eastAsia="Times New Roman" w:hAnsi="Times New Roman" w:cs="Times New Roman"/>
          <w:color w:val="000000"/>
          <w:lang w:eastAsia="it-IT"/>
        </w:rPr>
      </w:pPr>
      <w:r w:rsidRPr="006A0F26">
        <w:rPr>
          <w:rFonts w:ascii="Times New Roman" w:eastAsia="Times New Roman" w:hAnsi="Times New Roman" w:cs="Times New Roman"/>
          <w:color w:val="000000"/>
          <w:lang w:eastAsia="it-IT"/>
        </w:rPr>
        <w:t>2)  la persona fisica o le persone fisiche che esercitano in altro modo il controllo sulla direzione di un'entità giuridica;</w:t>
      </w:r>
    </w:p>
    <w:p w14:paraId="2F4BE8D0" w14:textId="77777777" w:rsidR="006A0F26" w:rsidRPr="006A0F26" w:rsidRDefault="006A0F26" w:rsidP="006A0F26">
      <w:pPr>
        <w:spacing w:after="0" w:line="240" w:lineRule="auto"/>
        <w:ind w:firstLine="400"/>
        <w:jc w:val="both"/>
        <w:rPr>
          <w:rFonts w:ascii="Times New Roman" w:eastAsia="Times New Roman" w:hAnsi="Times New Roman" w:cs="Times New Roman"/>
          <w:color w:val="000000"/>
          <w:lang w:eastAsia="it-IT"/>
        </w:rPr>
      </w:pPr>
      <w:r w:rsidRPr="006A0F26">
        <w:rPr>
          <w:rFonts w:ascii="Times New Roman" w:eastAsia="Times New Roman" w:hAnsi="Times New Roman" w:cs="Times New Roman"/>
          <w:color w:val="000000"/>
          <w:lang w:eastAsia="it-IT"/>
        </w:rPr>
        <w:t>b)  in caso di entità giuridiche quali le fondazioni e di istituti giuridici quali i trust, che amministrano e distribuiscono fondi:</w:t>
      </w:r>
    </w:p>
    <w:p w14:paraId="0E2F3F8B" w14:textId="77777777" w:rsidR="006A0F26" w:rsidRPr="006A0F26" w:rsidRDefault="006A0F26" w:rsidP="006A0F26">
      <w:pPr>
        <w:spacing w:after="0" w:line="240" w:lineRule="auto"/>
        <w:ind w:firstLine="600"/>
        <w:jc w:val="both"/>
        <w:rPr>
          <w:rFonts w:ascii="Times New Roman" w:eastAsia="Times New Roman" w:hAnsi="Times New Roman" w:cs="Times New Roman"/>
          <w:color w:val="000000"/>
          <w:lang w:eastAsia="it-IT"/>
        </w:rPr>
      </w:pPr>
      <w:r w:rsidRPr="006A0F26">
        <w:rPr>
          <w:rFonts w:ascii="Times New Roman" w:eastAsia="Times New Roman" w:hAnsi="Times New Roman" w:cs="Times New Roman"/>
          <w:color w:val="000000"/>
          <w:lang w:eastAsia="it-IT"/>
        </w:rPr>
        <w:t>1)  se i futuri beneficiari sono già stati determinati, la persona fisica o le persone fisiche beneficiarie del 25 per cento o più del patrimonio di un'entità giuridica;</w:t>
      </w:r>
    </w:p>
    <w:p w14:paraId="45A57204" w14:textId="77777777" w:rsidR="006A0F26" w:rsidRPr="006A0F26" w:rsidRDefault="006A0F26" w:rsidP="006A0F26">
      <w:pPr>
        <w:spacing w:after="0" w:line="240" w:lineRule="auto"/>
        <w:ind w:firstLine="600"/>
        <w:jc w:val="both"/>
        <w:rPr>
          <w:rFonts w:ascii="Times New Roman" w:eastAsia="Times New Roman" w:hAnsi="Times New Roman" w:cs="Times New Roman"/>
          <w:color w:val="000000"/>
          <w:lang w:eastAsia="it-IT"/>
        </w:rPr>
      </w:pPr>
      <w:r w:rsidRPr="006A0F26">
        <w:rPr>
          <w:rFonts w:ascii="Times New Roman" w:eastAsia="Times New Roman" w:hAnsi="Times New Roman" w:cs="Times New Roman"/>
          <w:color w:val="000000"/>
          <w:lang w:eastAsia="it-IT"/>
        </w:rPr>
        <w:t>2)  se le persone che beneficiano dell'entità giuridica non sono ancora state determinate, la categoria di persone nel cui interesse principale è istituita o agisce l'entità giuridica;</w:t>
      </w:r>
    </w:p>
    <w:p w14:paraId="7713D7F8" w14:textId="77777777" w:rsidR="006A0F26" w:rsidRPr="006A0F26" w:rsidRDefault="006A0F26" w:rsidP="006A0F26">
      <w:pPr>
        <w:spacing w:after="0" w:line="240" w:lineRule="auto"/>
        <w:ind w:firstLine="600"/>
        <w:jc w:val="both"/>
        <w:rPr>
          <w:rFonts w:ascii="Times New Roman" w:eastAsia="Times New Roman" w:hAnsi="Times New Roman" w:cs="Times New Roman"/>
          <w:color w:val="000000"/>
          <w:lang w:eastAsia="it-IT"/>
        </w:rPr>
      </w:pPr>
      <w:r w:rsidRPr="006A0F26">
        <w:rPr>
          <w:rFonts w:ascii="Times New Roman" w:eastAsia="Times New Roman" w:hAnsi="Times New Roman" w:cs="Times New Roman"/>
          <w:color w:val="000000"/>
          <w:lang w:eastAsia="it-IT"/>
        </w:rPr>
        <w:t>3)  la persona fisica o le persone fisiche che esercitano un controllo sul 25 per cento o più del patrimonio di un'entità giuridica.</w:t>
      </w:r>
    </w:p>
    <w:p w14:paraId="4F514119" w14:textId="77777777" w:rsidR="006A0F26" w:rsidRPr="00FE340E" w:rsidRDefault="006A0F26" w:rsidP="00FE340E">
      <w:pPr>
        <w:jc w:val="both"/>
        <w:rPr>
          <w:rFonts w:ascii="Times New Roman" w:hAnsi="Times New Roman" w:cs="Times New Roman"/>
        </w:rPr>
      </w:pPr>
    </w:p>
    <w:sectPr w:rsidR="006A0F26" w:rsidRPr="00FE34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EC0"/>
    <w:multiLevelType w:val="hybridMultilevel"/>
    <w:tmpl w:val="402C3842"/>
    <w:lvl w:ilvl="0" w:tplc="4D5A0558">
      <w:start w:val="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4608E3"/>
    <w:multiLevelType w:val="hybridMultilevel"/>
    <w:tmpl w:val="6DA60048"/>
    <w:lvl w:ilvl="0" w:tplc="94680788">
      <w:start w:val="4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253E69"/>
    <w:multiLevelType w:val="hybridMultilevel"/>
    <w:tmpl w:val="77AA5656"/>
    <w:lvl w:ilvl="0" w:tplc="9EBC33EE">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6D947BA"/>
    <w:multiLevelType w:val="hybridMultilevel"/>
    <w:tmpl w:val="D45200D0"/>
    <w:lvl w:ilvl="0" w:tplc="AA6C60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137"/>
    <w:rsid w:val="0029457B"/>
    <w:rsid w:val="004301C7"/>
    <w:rsid w:val="004F19D4"/>
    <w:rsid w:val="005669CB"/>
    <w:rsid w:val="00592B92"/>
    <w:rsid w:val="006A0F26"/>
    <w:rsid w:val="006C4098"/>
    <w:rsid w:val="008840F6"/>
    <w:rsid w:val="009B02DE"/>
    <w:rsid w:val="00A91137"/>
    <w:rsid w:val="00B243B4"/>
    <w:rsid w:val="00B9519A"/>
    <w:rsid w:val="00CB3B33"/>
    <w:rsid w:val="00FE3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D4C5"/>
  <w15:chartTrackingRefBased/>
  <w15:docId w15:val="{4C07F98D-35EF-49C1-BE22-4533ED70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91137"/>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A91137"/>
    <w:pPr>
      <w:ind w:left="720"/>
      <w:contextualSpacing/>
    </w:pPr>
  </w:style>
  <w:style w:type="character" w:customStyle="1" w:styleId="provvnumcomma">
    <w:name w:val="provv_numcomma"/>
    <w:basedOn w:val="Carpredefinitoparagrafo"/>
    <w:rsid w:val="005669CB"/>
  </w:style>
  <w:style w:type="character" w:customStyle="1" w:styleId="linkneltesto">
    <w:name w:val="link_nel_testo"/>
    <w:basedOn w:val="Carpredefinitoparagrafo"/>
    <w:rsid w:val="00566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408138">
      <w:bodyDiv w:val="1"/>
      <w:marLeft w:val="0"/>
      <w:marRight w:val="0"/>
      <w:marTop w:val="0"/>
      <w:marBottom w:val="0"/>
      <w:divBdr>
        <w:top w:val="none" w:sz="0" w:space="0" w:color="auto"/>
        <w:left w:val="none" w:sz="0" w:space="0" w:color="auto"/>
        <w:bottom w:val="none" w:sz="0" w:space="0" w:color="auto"/>
        <w:right w:val="none" w:sz="0" w:space="0" w:color="auto"/>
      </w:divBdr>
    </w:div>
    <w:div w:id="1681852864">
      <w:bodyDiv w:val="1"/>
      <w:marLeft w:val="0"/>
      <w:marRight w:val="0"/>
      <w:marTop w:val="0"/>
      <w:marBottom w:val="0"/>
      <w:divBdr>
        <w:top w:val="none" w:sz="0" w:space="0" w:color="auto"/>
        <w:left w:val="none" w:sz="0" w:space="0" w:color="auto"/>
        <w:bottom w:val="none" w:sz="0" w:space="0" w:color="auto"/>
        <w:right w:val="none" w:sz="0" w:space="0" w:color="auto"/>
      </w:divBdr>
    </w:div>
    <w:div w:id="1950041682">
      <w:bodyDiv w:val="1"/>
      <w:marLeft w:val="0"/>
      <w:marRight w:val="0"/>
      <w:marTop w:val="0"/>
      <w:marBottom w:val="0"/>
      <w:divBdr>
        <w:top w:val="none" w:sz="0" w:space="0" w:color="auto"/>
        <w:left w:val="none" w:sz="0" w:space="0" w:color="auto"/>
        <w:bottom w:val="none" w:sz="0" w:space="0" w:color="auto"/>
        <w:right w:val="none" w:sz="0" w:space="0" w:color="auto"/>
      </w:divBdr>
      <w:divsChild>
        <w:div w:id="1398623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entilocali.leggiditalia.it%2F%23id%3D10LX0000117333ART0%2C__m%3Ddocument&amp;data=05%7C01%7Cmanuela.didio%40asi.it%7Ce2d678609f694c1580e208db31f3530b%7Ccbfc58d4e60f468d8fe490676de085f7%7C0%7C0%7C638158693361117431%7CUnknown%7CTWFpbGZsb3d8eyJWIjoiMC4wLjAwMDAiLCJQIjoiV2luMzIiLCJBTiI6Ik1haWwiLCJXVCI6Mn0%3D%7C3000%7C%7C%7C&amp;sdata=p2A55vaQZtRA%2FGL5JKr5mhsKN3cx6BhWcBkaL9Tydxk%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9" ma:contentTypeDescription="Creare un nuovo documento." ma:contentTypeScope="" ma:versionID="c2fbc85be6a965c9962c27c69336ccfb">
  <xsd:schema xmlns:xsd="http://www.w3.org/2001/XMLSchema" xmlns:xs="http://www.w3.org/2001/XMLSchema" xmlns:p="http://schemas.microsoft.com/office/2006/metadata/properties" xmlns:ns3="ba7eecb8-4e0f-452a-b924-c5d7565ed4a7" targetNamespace="http://schemas.microsoft.com/office/2006/metadata/properties" ma:root="true" ma:fieldsID="70c49f6d616fd20ae2cf5fe9a29dfbe9" ns3:_="">
    <xsd:import namespace="ba7eecb8-4e0f-452a-b924-c5d7565ed4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BDA03A-817B-4A91-84D0-D42094F4B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0CA923-688A-49F5-84D1-556B9CFB5D13}">
  <ds:schemaRefs>
    <ds:schemaRef ds:uri="http://schemas.microsoft.com/sharepoint/v3/contenttype/forms"/>
  </ds:schemaRefs>
</ds:datastoreItem>
</file>

<file path=customXml/itemProps3.xml><?xml version="1.0" encoding="utf-8"?>
<ds:datastoreItem xmlns:ds="http://schemas.openxmlformats.org/officeDocument/2006/customXml" ds:itemID="{A40D6623-5FEC-48C1-928A-8D6CDF7633C9}">
  <ds:schemaRef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ba7eecb8-4e0f-452a-b924-c5d7565ed4a7"/>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1774</Words>
  <Characters>10115</Characters>
  <Application>Microsoft Office Word</Application>
  <DocSecurity>4</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dc:creator>
  <cp:keywords/>
  <dc:description/>
  <cp:lastModifiedBy>Sanci Edoarda</cp:lastModifiedBy>
  <cp:revision>2</cp:revision>
  <dcterms:created xsi:type="dcterms:W3CDTF">2023-04-06T13:07:00Z</dcterms:created>
  <dcterms:modified xsi:type="dcterms:W3CDTF">2023-04-06T13:07:00Z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