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45574338"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w:t>
      </w:r>
      <w:proofErr w:type="spellStart"/>
      <w:r w:rsidRPr="005F0E22">
        <w:rPr>
          <w:rFonts w:eastAsia="Times New Roman" w:cs="Times New Roman"/>
          <w:lang w:eastAsia="it-IT"/>
        </w:rPr>
        <w:t>ss.mm.ii</w:t>
      </w:r>
      <w:proofErr w:type="spellEnd"/>
      <w:r w:rsidRPr="005F0E22">
        <w:rPr>
          <w:rFonts w:eastAsia="Times New Roman" w:cs="Times New Roman"/>
          <w:lang w:eastAsia="it-IT"/>
        </w:rPr>
        <w:t xml:space="preserve">. - Codice dei Contratti Pubblici - preceduta da indagine di mercato per l’affidamento ………... </w:t>
      </w:r>
      <w:r w:rsidRPr="005F0E22">
        <w:rPr>
          <w:rFonts w:eastAsia="Times New Roman" w:cs="Times New Roman"/>
          <w:iCs/>
          <w:lang w:eastAsia="it-IT"/>
        </w:rPr>
        <w:t xml:space="preserve">L'attività in parola rientra tra i servizi di ricerca e sviluppo, CPV </w:t>
      </w:r>
      <w:r w:rsidRPr="005F0E22">
        <w:rPr>
          <w:rFonts w:eastAsia="Times New Roman" w:cs="Times New Roman"/>
          <w:iCs/>
          <w:lang w:eastAsia="it-IT"/>
        </w:rPr>
        <w:lastRenderedPageBreak/>
        <w:t xml:space="preserve">………   "--------------------", da considerarsi esclusa dall'applicazione del </w:t>
      </w:r>
      <w:proofErr w:type="spellStart"/>
      <w:r w:rsidRPr="005F0E22">
        <w:rPr>
          <w:rFonts w:eastAsia="Times New Roman" w:cs="Times New Roman"/>
          <w:iCs/>
          <w:lang w:eastAsia="it-IT"/>
        </w:rPr>
        <w:t>D.Lgs.</w:t>
      </w:r>
      <w:proofErr w:type="spellEnd"/>
      <w:r w:rsidRPr="005F0E22">
        <w:rPr>
          <w:rFonts w:eastAsia="Times New Roman" w:cs="Times New Roman"/>
          <w:iCs/>
          <w:lang w:eastAsia="it-IT"/>
        </w:rPr>
        <w:t xml:space="preserve">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 xml:space="preserve">L’offerta presentata dalla </w:t>
      </w:r>
      <w:proofErr w:type="spellStart"/>
      <w:r w:rsidRPr="005F0E22">
        <w:rPr>
          <w:rFonts w:eastAsia="Times New Roman" w:cs="Times New Roman"/>
          <w:bCs/>
          <w:iCs/>
          <w:lang w:eastAsia="it-IT"/>
        </w:rPr>
        <w:t>Soc</w:t>
      </w:r>
      <w:proofErr w:type="spellEnd"/>
      <w:r w:rsidRPr="005F0E22">
        <w:rPr>
          <w:rFonts w:eastAsia="Times New Roman" w:cs="Times New Roman"/>
          <w:bCs/>
          <w:iCs/>
          <w:lang w:eastAsia="it-IT"/>
        </w:rPr>
        <w:t>./RTI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 xml:space="preserve">l'attività in parola rientra tra i servizi di ricerca e sviluppo, CPV ………   "--------------------", da considerarsi esclusa dall'applicazione del </w:t>
      </w:r>
      <w:proofErr w:type="spellStart"/>
      <w:r w:rsidRPr="005F0E22">
        <w:rPr>
          <w:rFonts w:eastAsia="Calibri" w:cs="Times New Roman"/>
          <w:iCs/>
        </w:rPr>
        <w:t>D.Lgs.</w:t>
      </w:r>
      <w:proofErr w:type="spellEnd"/>
      <w:r w:rsidRPr="005F0E22">
        <w:rPr>
          <w:rFonts w:eastAsia="Calibri" w:cs="Times New Roman"/>
          <w:iCs/>
        </w:rPr>
        <w:t xml:space="preserve">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Che con determina a contrarre n. …. del …/../.., l’Agenzia Spaziale Italiana, ai sensi degli artt. 158 e 4 del D. Lgs. n. 50/2016 e </w:t>
      </w:r>
      <w:proofErr w:type="spellStart"/>
      <w:r w:rsidRPr="005F0E22">
        <w:rPr>
          <w:rFonts w:eastAsia="Calibri" w:cs="Times New Roman"/>
        </w:rPr>
        <w:t>ss.mm.ii</w:t>
      </w:r>
      <w:proofErr w:type="spellEnd"/>
      <w:r w:rsidRPr="005F0E22">
        <w:rPr>
          <w:rFonts w:eastAsia="Calibri" w:cs="Times New Roman"/>
        </w:rPr>
        <w:t>.,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w:t>
      </w:r>
      <w:proofErr w:type="spellStart"/>
      <w:r w:rsidRPr="00BC14B7">
        <w:rPr>
          <w:rFonts w:asciiTheme="minorHAnsi" w:eastAsia="Times New Roman" w:hAnsiTheme="minorHAnsi" w:cs="Times New Roman"/>
          <w:bCs/>
          <w:iCs/>
          <w:color w:val="auto"/>
          <w:sz w:val="22"/>
          <w:szCs w:val="22"/>
          <w:lang w:eastAsia="it-IT"/>
        </w:rPr>
        <w:t>RdO</w:t>
      </w:r>
      <w:proofErr w:type="spellEnd"/>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5F0E22">
        <w:rPr>
          <w:rFonts w:cs="Times New Roman"/>
          <w:i/>
        </w:rPr>
        <w:t>ss.mm.ii</w:t>
      </w:r>
      <w:proofErr w:type="spellEnd"/>
      <w:r w:rsidRPr="005F0E22">
        <w:rPr>
          <w:rFonts w:cs="Times New Roman"/>
          <w:i/>
        </w:rPr>
        <w:t xml:space="preserve">.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w:t>
      </w:r>
      <w:proofErr w:type="spellStart"/>
      <w:r w:rsidRPr="005F0E22">
        <w:rPr>
          <w:rFonts w:eastAsia="Times New Roman" w:cs="Times New Roman"/>
          <w:lang w:eastAsia="it-IT"/>
        </w:rPr>
        <w:t>D.Lgs.</w:t>
      </w:r>
      <w:proofErr w:type="spellEnd"/>
      <w:r w:rsidRPr="005F0E22">
        <w:rPr>
          <w:rFonts w:eastAsia="Times New Roman" w:cs="Times New Roman"/>
          <w:lang w:eastAsia="it-IT"/>
        </w:rPr>
        <w:t xml:space="preserve">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w:t>
      </w:r>
      <w:proofErr w:type="spellStart"/>
      <w:r w:rsidRPr="005F0E22">
        <w:rPr>
          <w:rFonts w:eastAsia="Calibri" w:cs="Times New Roman"/>
        </w:rPr>
        <w:t>ss.mm.ii</w:t>
      </w:r>
      <w:proofErr w:type="spellEnd"/>
      <w:r w:rsidRPr="005F0E22">
        <w:rPr>
          <w:rFonts w:eastAsia="Calibri" w:cs="Times New Roman"/>
        </w:rPr>
        <w:t xml:space="preserve">. e con le modalità di cui al Decreto del Ministero dell’Economia e delle Finanze del 18 gennaio 2008 n. 40 e </w:t>
      </w:r>
      <w:proofErr w:type="spellStart"/>
      <w:r w:rsidRPr="005F0E22">
        <w:rPr>
          <w:rFonts w:eastAsia="Calibri" w:cs="Times New Roman"/>
        </w:rPr>
        <w:t>ss.mm.ii</w:t>
      </w:r>
      <w:proofErr w:type="spellEnd"/>
      <w:r w:rsidRPr="005F0E22">
        <w:rPr>
          <w:rFonts w:eastAsia="Calibri" w:cs="Times New Roman"/>
        </w:rPr>
        <w:t>.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sempre che il ritardo non costituisca inadempimento di non scarsa importanza ai fini dell’art. 28, il Contraente sarà assoggettato, per ciascun giorno calendariale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 xml:space="preserve">Si applica quanto previsto dal </w:t>
      </w:r>
      <w:proofErr w:type="spellStart"/>
      <w:r w:rsidRPr="005F0E22">
        <w:rPr>
          <w:rFonts w:cs="Times New Roman"/>
          <w:lang w:eastAsia="it-IT"/>
        </w:rPr>
        <w:t>D.Lgs.</w:t>
      </w:r>
      <w:proofErr w:type="spellEnd"/>
      <w:r w:rsidRPr="005F0E22">
        <w:rPr>
          <w:rFonts w:cs="Times New Roman"/>
          <w:lang w:eastAsia="it-IT"/>
        </w:rPr>
        <w:t xml:space="preserve">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 xml:space="preserve">A garanzia dell’esecuzione del contratto, il Contraente ha fornito la garanzia fidejussoria n. ……………… rilasciata da …………… di importo pari ad € ………… con le modalità e nel rispetto delle disposizioni di cui all’art. 103 del D.Lgs.50/2016 e </w:t>
      </w:r>
      <w:proofErr w:type="spellStart"/>
      <w:r w:rsidRPr="005F0E22">
        <w:rPr>
          <w:rFonts w:eastAsia="Times New Roman" w:cs="Times New Roman"/>
          <w:bCs/>
          <w:lang w:eastAsia="it-IT"/>
        </w:rPr>
        <w:t>ss.mm.ii</w:t>
      </w:r>
      <w:proofErr w:type="spellEnd"/>
      <w:r w:rsidRPr="005F0E22">
        <w:rPr>
          <w:rFonts w:eastAsia="Times New Roman" w:cs="Times New Roman"/>
          <w:bCs/>
          <w:lang w:eastAsia="it-IT"/>
        </w:rPr>
        <w:t>.,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 xml:space="preserve">Il Contraente è tenuto a rispettare tutti gli obblighi di tracciabilità dei flussi finanziari di cui all'Articolo 3 della legge 13 agosto 2010, n. 136 e </w:t>
      </w:r>
      <w:proofErr w:type="spellStart"/>
      <w:r w:rsidRPr="005F0E22">
        <w:rPr>
          <w:rFonts w:eastAsia="Calibri" w:cs="Times New Roman"/>
        </w:rPr>
        <w:t>s.m.i.</w:t>
      </w:r>
      <w:proofErr w:type="spellEnd"/>
      <w:r w:rsidRPr="005F0E22">
        <w:rPr>
          <w:rFonts w:eastAsia="Calibri" w:cs="Times New Roman"/>
        </w:rPr>
        <w:t>:</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5F0E22">
        <w:rPr>
          <w:rFonts w:eastAsia="Calibri" w:cs="Times New Roman"/>
        </w:rPr>
        <w:t>s.m.i.</w:t>
      </w:r>
      <w:proofErr w:type="spellEnd"/>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5F0E22">
        <w:rPr>
          <w:rFonts w:eastAsia="Calibri" w:cs="Times New Roman"/>
        </w:rPr>
        <w:t>s.m.i.</w:t>
      </w:r>
      <w:proofErr w:type="spellEnd"/>
    </w:p>
    <w:p w14:paraId="45574417"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p>
    <w:p w14:paraId="45574418"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 xml:space="preserve">Si applica l’art. 105 del D.lgs. 50/2016 e </w:t>
      </w:r>
      <w:proofErr w:type="spellStart"/>
      <w:r w:rsidRPr="005F0E22">
        <w:rPr>
          <w:rFonts w:eastAsia="Times New Roman" w:cs="Times New Roman"/>
          <w:i/>
          <w:lang w:eastAsia="it-IT"/>
        </w:rPr>
        <w:t>ss.mm.ii</w:t>
      </w:r>
      <w:proofErr w:type="spellEnd"/>
      <w:r w:rsidRPr="005F0E22">
        <w:rPr>
          <w:rFonts w:eastAsia="Times New Roman" w:cs="Times New Roman"/>
          <w:i/>
          <w:lang w:eastAsia="it-IT"/>
        </w:rPr>
        <w:t>.</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 xml:space="preserve">Si applicano i commi. ….. dell’art. 105 del D.lgs. 50/2016 e </w:t>
      </w:r>
      <w:proofErr w:type="spellStart"/>
      <w:r w:rsidRPr="005F0E22">
        <w:rPr>
          <w:rFonts w:eastAsia="Times New Roman" w:cs="Times New Roman"/>
          <w:i/>
          <w:lang w:eastAsia="it-IT"/>
        </w:rPr>
        <w:t>ss.mm.ii</w:t>
      </w:r>
      <w:proofErr w:type="spellEnd"/>
      <w:r w:rsidRPr="005F0E22">
        <w:rPr>
          <w:rFonts w:eastAsia="Times New Roman" w:cs="Times New Roman"/>
          <w:i/>
          <w:lang w:eastAsia="it-IT"/>
        </w:rPr>
        <w:t>.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lastRenderedPageBreak/>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 xml:space="preserve">e agli eventi in cui è prevista una verifica di conformità </w:t>
      </w:r>
      <w:r w:rsidRPr="005F0E22">
        <w:rPr>
          <w:rFonts w:eastAsia="Calibri" w:cs="Times New Roman"/>
          <w:bCs/>
          <w:i/>
          <w:iCs/>
          <w:color w:val="000000" w:themeColor="text1"/>
        </w:rPr>
        <w:lastRenderedPageBreak/>
        <w:t>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lastRenderedPageBreak/>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lastRenderedPageBreak/>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r w:rsidRPr="005F0E22">
        <w:rPr>
          <w:rFonts w:cs="Times New Roman"/>
          <w:bCs/>
          <w:color w:val="000000"/>
        </w:rPr>
        <w:t xml:space="preserve">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lastRenderedPageBreak/>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lastRenderedPageBreak/>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w:t>
      </w:r>
      <w:r w:rsidRPr="005F0E22">
        <w:rPr>
          <w:rFonts w:cs="Times New Roman"/>
          <w:color w:val="000000"/>
        </w:rPr>
        <w:lastRenderedPageBreak/>
        <w:t xml:space="preserve">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lastRenderedPageBreak/>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lastRenderedPageBreak/>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0"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0"/>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w:t>
      </w:r>
      <w:r w:rsidRPr="005F0E22">
        <w:rPr>
          <w:rFonts w:cs="Times New Roman"/>
          <w:color w:val="000000"/>
        </w:rPr>
        <w:lastRenderedPageBreak/>
        <w:t xml:space="preserve">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w:t>
      </w:r>
      <w:r w:rsidRPr="005F0E22">
        <w:rPr>
          <w:rFonts w:cs="Times New Roman"/>
          <w:color w:val="000000"/>
        </w:rPr>
        <w:lastRenderedPageBreak/>
        <w:t xml:space="preserve">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77777777" w:rsidR="00C14899" w:rsidRPr="005F0E22"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55744D8"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può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lastRenderedPageBreak/>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lastRenderedPageBreak/>
        <w:t xml:space="preserve">A tal fine, la Work Breakdown </w:t>
      </w:r>
      <w:proofErr w:type="spellStart"/>
      <w:r w:rsidRPr="005F0E22">
        <w:rPr>
          <w:rFonts w:cs="Times New Roman"/>
          <w:bCs/>
          <w:i/>
          <w:color w:val="000000"/>
        </w:rPr>
        <w:t>Structure</w:t>
      </w:r>
      <w:proofErr w:type="spellEnd"/>
      <w:r w:rsidRPr="005F0E22">
        <w:rPr>
          <w:rFonts w:cs="Times New Roman"/>
          <w:bCs/>
          <w:i/>
          <w:color w:val="000000"/>
        </w:rPr>
        <w:t xml:space="preserv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 xml:space="preserve">Principi di cui all’art. 4 del D.lgs. n. 50/2016 e </w:t>
      </w:r>
      <w:proofErr w:type="spellStart"/>
      <w:r w:rsidRPr="005F0E22">
        <w:rPr>
          <w:rFonts w:eastAsia="Times New Roman" w:cs="Times New Roman"/>
          <w:color w:val="000000" w:themeColor="text1"/>
          <w:lang w:eastAsia="it-IT"/>
        </w:rPr>
        <w:t>s.m.i.</w:t>
      </w:r>
      <w:proofErr w:type="spellEnd"/>
      <w:r w:rsidRPr="005F0E22">
        <w:rPr>
          <w:rFonts w:eastAsia="Times New Roman" w:cs="Times New Roman"/>
          <w:color w:val="000000" w:themeColor="text1"/>
          <w:lang w:eastAsia="it-IT"/>
        </w:rPr>
        <w:t xml:space="preserve">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5F0E22">
        <w:rPr>
          <w:rFonts w:eastAsia="Times New Roman" w:cs="Times New Roman"/>
          <w:color w:val="000000" w:themeColor="text1"/>
          <w:lang w:eastAsia="it-IT"/>
        </w:rPr>
        <w:t>D.Lgs.</w:t>
      </w:r>
      <w:proofErr w:type="spellEnd"/>
      <w:r w:rsidRPr="005F0E22">
        <w:rPr>
          <w:rFonts w:eastAsia="Times New Roman" w:cs="Times New Roman"/>
          <w:color w:val="000000" w:themeColor="text1"/>
          <w:lang w:eastAsia="it-IT"/>
        </w:rPr>
        <w:t xml:space="preserve"> 9 aprile 2008 n. 81 e </w:t>
      </w:r>
      <w:proofErr w:type="spellStart"/>
      <w:r w:rsidRPr="005F0E22">
        <w:rPr>
          <w:rFonts w:eastAsia="Times New Roman" w:cs="Times New Roman"/>
          <w:color w:val="000000" w:themeColor="text1"/>
          <w:lang w:eastAsia="it-IT"/>
        </w:rPr>
        <w:t>s.m.i.</w:t>
      </w:r>
      <w:proofErr w:type="spellEnd"/>
      <w:r w:rsidRPr="005F0E22">
        <w:rPr>
          <w:rFonts w:eastAsia="Times New Roman" w:cs="Times New Roman"/>
          <w:color w:val="000000" w:themeColor="text1"/>
          <w:lang w:eastAsia="it-IT"/>
        </w:rPr>
        <w:t>;</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006276">
        <w:rPr>
          <w:rFonts w:eastAsia="Times New Roman" w:cs="Times New Roman"/>
          <w:color w:val="000000" w:themeColor="text1"/>
          <w:lang w:eastAsia="it-IT"/>
        </w:rPr>
        <w:t>D.Lgs.</w:t>
      </w:r>
      <w:proofErr w:type="spellEnd"/>
      <w:r w:rsidRPr="00006276">
        <w:rPr>
          <w:rFonts w:eastAsia="Times New Roman" w:cs="Times New Roman"/>
          <w:color w:val="000000" w:themeColor="text1"/>
          <w:lang w:eastAsia="it-IT"/>
        </w:rPr>
        <w:t xml:space="preserve"> n. 159/2011 e </w:t>
      </w:r>
      <w:proofErr w:type="spellStart"/>
      <w:r w:rsidRPr="00006276">
        <w:rPr>
          <w:rFonts w:eastAsia="Times New Roman" w:cs="Times New Roman"/>
          <w:color w:val="000000" w:themeColor="text1"/>
          <w:lang w:eastAsia="it-IT"/>
        </w:rPr>
        <w:t>s.m.i.</w:t>
      </w:r>
      <w:proofErr w:type="spellEnd"/>
      <w:r w:rsidRPr="00006276">
        <w:rPr>
          <w:rFonts w:eastAsia="Times New Roman" w:cs="Times New Roman"/>
          <w:color w:val="000000" w:themeColor="text1"/>
          <w:lang w:eastAsia="it-IT"/>
        </w:rPr>
        <w:t>;</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601DA4"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 xml:space="preserve">Legge 13 </w:t>
      </w:r>
      <w:r w:rsidRPr="00601DA4">
        <w:rPr>
          <w:rFonts w:eastAsia="Times New Roman" w:cs="Times New Roman"/>
          <w:color w:val="000000" w:themeColor="text1"/>
          <w:lang w:eastAsia="it-IT"/>
        </w:rPr>
        <w:t xml:space="preserve">agosto 2010 n. 136 e </w:t>
      </w:r>
      <w:proofErr w:type="spellStart"/>
      <w:r w:rsidRPr="00601DA4">
        <w:rPr>
          <w:rFonts w:eastAsia="Times New Roman" w:cs="Times New Roman"/>
          <w:color w:val="000000" w:themeColor="text1"/>
          <w:lang w:eastAsia="it-IT"/>
        </w:rPr>
        <w:t>s.m.i.</w:t>
      </w:r>
      <w:proofErr w:type="spellEnd"/>
      <w:r w:rsidRPr="00601DA4">
        <w:rPr>
          <w:rFonts w:eastAsia="Times New Roman" w:cs="Times New Roman"/>
          <w:color w:val="000000" w:themeColor="text1"/>
          <w:lang w:eastAsia="it-IT"/>
        </w:rPr>
        <w:t>;</w:t>
      </w:r>
    </w:p>
    <w:p w14:paraId="4557451E" w14:textId="5F240477" w:rsidR="00C14899" w:rsidRPr="00601DA4" w:rsidRDefault="005A7744"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601DA4">
        <w:rPr>
          <w:rFonts w:eastAsia="Times New Roman" w:cs="Times New Roman"/>
          <w:color w:val="000000" w:themeColor="text1"/>
          <w:lang w:eastAsia="it-IT"/>
        </w:rPr>
        <w:t>Regolamento UE n. 679/16 del 27 aprile 2016</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601DA4">
        <w:rPr>
          <w:rFonts w:eastAsia="Times New Roman" w:cs="Times New Roman"/>
          <w:iCs/>
          <w:color w:val="000000" w:themeColor="text1"/>
          <w:lang w:eastAsia="it-IT"/>
        </w:rPr>
        <w:t>D.Lgs.</w:t>
      </w:r>
      <w:proofErr w:type="spellEnd"/>
      <w:r w:rsidRPr="00601DA4">
        <w:rPr>
          <w:rFonts w:eastAsia="Times New Roman" w:cs="Times New Roman"/>
          <w:iCs/>
          <w:color w:val="000000" w:themeColor="text1"/>
          <w:lang w:eastAsia="it-IT"/>
        </w:rPr>
        <w:t xml:space="preserve"> n. 82/2005 e </w:t>
      </w:r>
      <w:proofErr w:type="spellStart"/>
      <w:r w:rsidRPr="00601DA4">
        <w:rPr>
          <w:rFonts w:eastAsia="Times New Roman" w:cs="Times New Roman"/>
          <w:iCs/>
          <w:color w:val="000000" w:themeColor="text1"/>
          <w:lang w:eastAsia="it-IT"/>
        </w:rPr>
        <w:t>s.m.i.</w:t>
      </w:r>
      <w:proofErr w:type="spellEnd"/>
      <w:r w:rsidRPr="00601DA4">
        <w:rPr>
          <w:rFonts w:eastAsia="Times New Roman" w:cs="Times New Roman"/>
          <w:bCs/>
          <w:iCs/>
          <w:color w:val="000000" w:themeColor="text1"/>
          <w:lang w:eastAsia="it-IT"/>
        </w:rPr>
        <w:t xml:space="preserve"> (di seguito Codice</w:t>
      </w:r>
      <w:r w:rsidRPr="005F0E22">
        <w:rPr>
          <w:rFonts w:eastAsia="Times New Roman" w:cs="Times New Roman"/>
          <w:bCs/>
          <w:iCs/>
          <w:color w:val="000000" w:themeColor="text1"/>
          <w:lang w:eastAsia="it-IT"/>
        </w:rPr>
        <w:t xml:space="preserv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 xml:space="preserve">norme della </w:t>
      </w:r>
      <w:proofErr w:type="spellStart"/>
      <w:r w:rsidRPr="00006276">
        <w:rPr>
          <w:rFonts w:eastAsia="Times New Roman" w:cs="Times New Roman"/>
          <w:color w:val="000000" w:themeColor="text1"/>
          <w:lang w:eastAsia="it-IT"/>
        </w:rPr>
        <w:t>European</w:t>
      </w:r>
      <w:proofErr w:type="spellEnd"/>
      <w:r w:rsidRPr="00006276">
        <w:rPr>
          <w:rFonts w:eastAsia="Times New Roman" w:cs="Times New Roman"/>
          <w:color w:val="000000" w:themeColor="text1"/>
          <w:lang w:eastAsia="it-IT"/>
        </w:rPr>
        <w:t xml:space="preserve"> </w:t>
      </w:r>
      <w:proofErr w:type="spellStart"/>
      <w:r w:rsidRPr="00006276">
        <w:rPr>
          <w:rFonts w:eastAsia="Times New Roman" w:cs="Times New Roman"/>
          <w:color w:val="000000" w:themeColor="text1"/>
          <w:lang w:eastAsia="it-IT"/>
        </w:rPr>
        <w:t>Cooperation</w:t>
      </w:r>
      <w:proofErr w:type="spellEnd"/>
      <w:r w:rsidRPr="00006276">
        <w:rPr>
          <w:rFonts w:eastAsia="Times New Roman" w:cs="Times New Roman"/>
          <w:color w:val="000000" w:themeColor="text1"/>
          <w:lang w:eastAsia="it-IT"/>
        </w:rPr>
        <w:t xml:space="preserve"> for Space </w:t>
      </w:r>
      <w:proofErr w:type="spellStart"/>
      <w:r w:rsidRPr="00006276">
        <w:rPr>
          <w:rFonts w:eastAsia="Times New Roman" w:cs="Times New Roman"/>
          <w:color w:val="000000" w:themeColor="text1"/>
          <w:lang w:eastAsia="it-IT"/>
        </w:rPr>
        <w:t>Standardization</w:t>
      </w:r>
      <w:proofErr w:type="spellEnd"/>
      <w:r w:rsidRPr="00006276">
        <w:rPr>
          <w:rFonts w:eastAsia="Times New Roman" w:cs="Times New Roman"/>
          <w:color w:val="000000" w:themeColor="text1"/>
          <w:lang w:eastAsia="it-IT"/>
        </w:rPr>
        <w:t xml:space="preserve">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w:t>
      </w:r>
      <w:proofErr w:type="spellStart"/>
      <w:r w:rsidRPr="005F0E22">
        <w:rPr>
          <w:rFonts w:eastAsia="Times New Roman" w:cs="Times New Roman"/>
          <w:lang w:eastAsia="it-IT"/>
        </w:rPr>
        <w:t>s.m.i.</w:t>
      </w:r>
      <w:proofErr w:type="spellEnd"/>
      <w:r w:rsidRPr="005F0E22">
        <w:rPr>
          <w:rFonts w:eastAsia="Times New Roman" w:cs="Times New Roman"/>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 xml:space="preserve">Le parti dichiarano di applicare le disposizioni del Regolamento UE n. 679/16 del </w:t>
      </w:r>
      <w:r w:rsidRPr="00953C0C">
        <w:rPr>
          <w:rFonts w:eastAsia="Times New Roman" w:cs="Times New Roman"/>
          <w:lang w:eastAsia="it-IT"/>
        </w:rPr>
        <w:lastRenderedPageBreak/>
        <w:t>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lastRenderedPageBreak/>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w:t>
      </w:r>
      <w:proofErr w:type="spellStart"/>
      <w:r w:rsidRPr="005F0E22">
        <w:rPr>
          <w:rFonts w:cs="IGOJAD+TimesNewRoman"/>
          <w:color w:val="000000"/>
          <w:sz w:val="23"/>
          <w:szCs w:val="23"/>
        </w:rPr>
        <w:t>Change</w:t>
      </w:r>
      <w:proofErr w:type="spellEnd"/>
      <w:r w:rsidRPr="005F0E22">
        <w:rPr>
          <w:rFonts w:cs="IGOJAD+TimesNewRoman"/>
          <w:color w:val="000000"/>
          <w:sz w:val="23"/>
          <w:szCs w:val="23"/>
        </w:rPr>
        <w:t xml:space="preserve"> </w:t>
      </w:r>
      <w:proofErr w:type="spellStart"/>
      <w:r w:rsidRPr="005F0E22">
        <w:rPr>
          <w:rFonts w:cs="IGOJAD+TimesNewRoman"/>
          <w:color w:val="000000"/>
          <w:sz w:val="23"/>
          <w:szCs w:val="23"/>
        </w:rPr>
        <w:t>Notice</w:t>
      </w:r>
      <w:proofErr w:type="spellEnd"/>
      <w:r w:rsidRPr="005F0E22">
        <w:rPr>
          <w:rFonts w:cs="IGOJAD+TimesNewRoman"/>
          <w:color w:val="000000"/>
          <w:sz w:val="23"/>
          <w:szCs w:val="23"/>
        </w:rPr>
        <w:t xml:space="preserv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l’oggetto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il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w:t>
      </w:r>
      <w:proofErr w:type="spellStart"/>
      <w:r w:rsidRPr="005F0E22" w:rsidDel="00535A83">
        <w:rPr>
          <w:bCs/>
          <w:color w:val="000000"/>
          <w:sz w:val="24"/>
          <w:szCs w:val="24"/>
        </w:rPr>
        <w:t>RdO</w:t>
      </w:r>
      <w:proofErr w:type="spellEnd"/>
      <w:r w:rsidRPr="005F0E22" w:rsidDel="00535A83">
        <w:rPr>
          <w:bCs/>
          <w:color w:val="000000"/>
          <w:sz w:val="24"/>
          <w:szCs w:val="24"/>
        </w:rPr>
        <w:t xml:space="preserve">,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w:t>
      </w:r>
      <w:proofErr w:type="spellStart"/>
      <w:r w:rsidRPr="00D90530">
        <w:rPr>
          <w:bCs/>
          <w:color w:val="000000"/>
          <w:sz w:val="24"/>
          <w:szCs w:val="24"/>
        </w:rPr>
        <w:t>RdO</w:t>
      </w:r>
      <w:proofErr w:type="spellEnd"/>
      <w:r w:rsidRPr="00D90530">
        <w:rPr>
          <w:bCs/>
          <w:color w:val="000000"/>
          <w:sz w:val="24"/>
          <w:szCs w:val="24"/>
        </w:rPr>
        <w:t xml:space="preserve">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eastAsia="it-IT"/>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w:t>
      </w:r>
      <w:proofErr w:type="spellStart"/>
      <w:r w:rsidRPr="00BC14B7">
        <w:rPr>
          <w:rFonts w:cs="IHBCAM+Arial"/>
          <w:b/>
          <w:i/>
          <w:color w:val="000000"/>
          <w:sz w:val="23"/>
          <w:szCs w:val="23"/>
          <w:u w:val="single"/>
        </w:rPr>
        <w:t>Change</w:t>
      </w:r>
      <w:proofErr w:type="spellEnd"/>
      <w:r w:rsidRPr="00BC14B7">
        <w:rPr>
          <w:rFonts w:cs="IHBCAM+Arial"/>
          <w:b/>
          <w:i/>
          <w:color w:val="000000"/>
          <w:sz w:val="23"/>
          <w:szCs w:val="23"/>
          <w:u w:val="single"/>
        </w:rPr>
        <w:t xml:space="preserv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eastAsia="it-IT"/>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eastAsia="it-IT"/>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eastAsia="it-IT"/>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w:t>
      </w:r>
      <w:proofErr w:type="spellStart"/>
      <w:r w:rsidRPr="005F0E22">
        <w:rPr>
          <w:rFonts w:cs="Times New Roman"/>
          <w:color w:val="000000"/>
        </w:rPr>
        <w:t>Configuration</w:t>
      </w:r>
      <w:proofErr w:type="spellEnd"/>
      <w:r w:rsidRPr="005F0E22">
        <w:rPr>
          <w:rFonts w:cs="Times New Roman"/>
          <w:color w:val="000000"/>
        </w:rPr>
        <w:t xml:space="preserve">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w:t>
      </w:r>
      <w:proofErr w:type="spellStart"/>
      <w:r w:rsidRPr="005F0E22">
        <w:rPr>
          <w:rFonts w:cs="Times New Roman"/>
        </w:rPr>
        <w:t>Change</w:t>
      </w:r>
      <w:proofErr w:type="spellEnd"/>
      <w:r w:rsidRPr="005F0E22">
        <w:rPr>
          <w:rFonts w:cs="Times New Roman"/>
        </w:rPr>
        <w:t xml:space="preserve"> </w:t>
      </w:r>
      <w:proofErr w:type="spellStart"/>
      <w:r w:rsidRPr="005F0E22">
        <w:rPr>
          <w:rFonts w:cs="Times New Roman"/>
        </w:rPr>
        <w:t>Proposal</w:t>
      </w:r>
      <w:proofErr w:type="spellEnd"/>
      <w:r w:rsidRPr="005F0E22">
        <w:rPr>
          <w:rFonts w:cs="Times New Roman"/>
        </w:rPr>
        <w:t xml:space="preserve">)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Per l’esame delle proposte di classe 1A e 1B è costituito un Comitato misto ASI/Contraente (</w:t>
      </w:r>
      <w:proofErr w:type="spellStart"/>
      <w:r w:rsidRPr="005F0E22">
        <w:rPr>
          <w:rFonts w:cs="Times New Roman"/>
          <w:color w:val="000000"/>
        </w:rPr>
        <w:t>Change</w:t>
      </w:r>
      <w:proofErr w:type="spellEnd"/>
      <w:r w:rsidRPr="005F0E22">
        <w:rPr>
          <w:rFonts w:cs="Times New Roman"/>
          <w:color w:val="000000"/>
        </w:rPr>
        <w:t xml:space="preserv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w:t>
      </w:r>
      <w:proofErr w:type="spellStart"/>
      <w:r w:rsidRPr="005F0E22">
        <w:rPr>
          <w:rFonts w:cs="Times New Roman"/>
          <w:color w:val="000000"/>
        </w:rPr>
        <w:t>Configuration</w:t>
      </w:r>
      <w:proofErr w:type="spellEnd"/>
      <w:r w:rsidRPr="005F0E22">
        <w:rPr>
          <w:rFonts w:cs="Times New Roman"/>
          <w:color w:val="000000"/>
        </w:rPr>
        <w:t xml:space="preserve">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w:t>
      </w:r>
      <w:proofErr w:type="spellStart"/>
      <w:r w:rsidRPr="005F0E22">
        <w:rPr>
          <w:rFonts w:cs="Times New Roman"/>
          <w:color w:val="000000"/>
        </w:rPr>
        <w:t>Configuration</w:t>
      </w:r>
      <w:proofErr w:type="spellEnd"/>
      <w:r w:rsidRPr="005F0E22">
        <w:rPr>
          <w:rFonts w:cs="Times New Roman"/>
          <w:color w:val="000000"/>
        </w:rPr>
        <w:t xml:space="preserve"> Control del Product Assurance ASI abbia correlato la stessa con l’Engineering </w:t>
      </w:r>
      <w:proofErr w:type="spellStart"/>
      <w:r w:rsidRPr="005F0E22">
        <w:rPr>
          <w:rFonts w:cs="Times New Roman"/>
          <w:color w:val="000000"/>
        </w:rPr>
        <w:t>Change</w:t>
      </w:r>
      <w:proofErr w:type="spellEnd"/>
      <w:r w:rsidRPr="005F0E22">
        <w:rPr>
          <w:rFonts w:cs="Times New Roman"/>
          <w:color w:val="000000"/>
        </w:rPr>
        <w:t xml:space="preserv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w:t>
      </w:r>
      <w:proofErr w:type="spellStart"/>
      <w:r w:rsidRPr="005F0E22">
        <w:rPr>
          <w:rFonts w:cs="Times New Roman"/>
          <w:b/>
          <w:color w:val="000000"/>
        </w:rPr>
        <w:t>Change</w:t>
      </w:r>
      <w:proofErr w:type="spellEnd"/>
      <w:r w:rsidRPr="005F0E22">
        <w:rPr>
          <w:rFonts w:cs="Times New Roman"/>
          <w:b/>
          <w:color w:val="000000"/>
        </w:rPr>
        <w:t xml:space="preserv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w:t>
      </w:r>
      <w:proofErr w:type="spellStart"/>
      <w:r w:rsidRPr="005F0E22">
        <w:rPr>
          <w:rFonts w:cs="Times New Roman"/>
          <w:color w:val="000000"/>
        </w:rPr>
        <w:t>Change</w:t>
      </w:r>
      <w:proofErr w:type="spellEnd"/>
      <w:r w:rsidRPr="005F0E22">
        <w:rPr>
          <w:rFonts w:cs="Times New Roman"/>
          <w:color w:val="000000"/>
        </w:rPr>
        <w:t xml:space="preserve"> Review Board (CRB), dopo essersi accertato che la scheda (Cover </w:t>
      </w:r>
      <w:proofErr w:type="spellStart"/>
      <w:r w:rsidRPr="005F0E22">
        <w:rPr>
          <w:rFonts w:cs="Times New Roman"/>
          <w:color w:val="000000"/>
        </w:rPr>
        <w:t>Sheet</w:t>
      </w:r>
      <w:proofErr w:type="spellEnd"/>
      <w:r w:rsidRPr="005F0E22">
        <w:rPr>
          <w:rFonts w:cs="Times New Roman"/>
          <w:color w:val="000000"/>
        </w:rPr>
        <w:t xml:space="preserve">)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Le responsabilità dei membri del CRB da parte industriale sono solitamente indicate nel CADM/CM (</w:t>
      </w:r>
      <w:proofErr w:type="spellStart"/>
      <w:r w:rsidRPr="005F0E22">
        <w:rPr>
          <w:rFonts w:cs="Times New Roman"/>
          <w:color w:val="000000"/>
        </w:rPr>
        <w:t>Configuration</w:t>
      </w:r>
      <w:proofErr w:type="spellEnd"/>
      <w:r w:rsidRPr="005F0E22">
        <w:rPr>
          <w:rFonts w:cs="Times New Roman"/>
          <w:color w:val="000000"/>
        </w:rPr>
        <w:t xml:space="preserve">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milestones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xml:space="preserve">: biglietti aereo, treno, pernottamento, autonoleggio, affitto residence, </w:t>
      </w:r>
      <w:proofErr w:type="spellStart"/>
      <w:r w:rsidRPr="005F0E22">
        <w:t>ecc</w:t>
      </w:r>
      <w:proofErr w:type="spellEnd"/>
      <w:r w:rsidRPr="005F0E22">
        <w:t>…)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Altri Costi (</w:t>
      </w:r>
      <w:proofErr w:type="spellStart"/>
      <w:r w:rsidRPr="005F0E22">
        <w:t>Other</w:t>
      </w:r>
      <w:proofErr w:type="spellEnd"/>
      <w:r w:rsidRPr="005F0E22">
        <w:t xml:space="preserve"> Costs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4557477F" w14:textId="77777777" w:rsidR="00C14899" w:rsidRPr="005F0E22" w:rsidRDefault="00C14899" w:rsidP="00C14899">
      <w:pPr>
        <w:numPr>
          <w:ilvl w:val="0"/>
          <w:numId w:val="11"/>
        </w:numPr>
        <w:contextualSpacing/>
        <w:jc w:val="both"/>
      </w:pPr>
      <w:r w:rsidRPr="005F0E22">
        <w:t xml:space="preserve">Altri Costi ( </w:t>
      </w:r>
      <w:proofErr w:type="spellStart"/>
      <w:r w:rsidRPr="005F0E22">
        <w:t>Other</w:t>
      </w:r>
      <w:proofErr w:type="spellEnd"/>
      <w:r w:rsidRPr="005F0E22">
        <w:t xml:space="preserve"> Costs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w:t>
      </w:r>
      <w:proofErr w:type="spellStart"/>
      <w:r w:rsidRPr="00C619A4">
        <w:rPr>
          <w:b/>
          <w:bCs/>
          <w:i/>
          <w:iCs/>
          <w:spacing w:val="5"/>
        </w:rPr>
        <w:t>Other</w:t>
      </w:r>
      <w:proofErr w:type="spellEnd"/>
      <w:r w:rsidRPr="00C619A4">
        <w:rPr>
          <w:b/>
          <w:bCs/>
          <w:i/>
          <w:iCs/>
          <w:spacing w:val="5"/>
        </w:rPr>
        <w:t xml:space="preserve"> Costs )</w:t>
      </w:r>
    </w:p>
    <w:p w14:paraId="45574784" w14:textId="77777777" w:rsidR="00C14899" w:rsidRPr="005F0E22" w:rsidRDefault="00C14899" w:rsidP="00C14899">
      <w:pPr>
        <w:jc w:val="both"/>
      </w:pPr>
      <w:r w:rsidRPr="005F0E22">
        <w:t>Con le precisazioni di seguito esplicitate, per “</w:t>
      </w:r>
      <w:proofErr w:type="spellStart"/>
      <w:r w:rsidRPr="005F0E22">
        <w:t>other</w:t>
      </w:r>
      <w:proofErr w:type="spellEnd"/>
      <w:r w:rsidRPr="005F0E22">
        <w:t xml:space="preserve"> costs”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Gli “</w:t>
      </w:r>
      <w:proofErr w:type="spellStart"/>
      <w:r w:rsidRPr="005F0E22">
        <w:t>other</w:t>
      </w:r>
      <w:proofErr w:type="spellEnd"/>
      <w:r w:rsidRPr="005F0E22">
        <w:t xml:space="preserve"> costs”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Agli “</w:t>
      </w:r>
      <w:proofErr w:type="spellStart"/>
      <w:r w:rsidRPr="005F0E22">
        <w:t>other</w:t>
      </w:r>
      <w:proofErr w:type="spellEnd"/>
      <w:r w:rsidRPr="005F0E22">
        <w:t xml:space="preserve"> costs”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w:t>
      </w:r>
      <w:proofErr w:type="spellStart"/>
      <w:r w:rsidRPr="005F0E22">
        <w:t>ecc</w:t>
      </w:r>
      <w:proofErr w:type="spellEnd"/>
      <w:r w:rsidRPr="005F0E22">
        <w:t>.</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Standards)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eastAsia="it-IT"/>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77777777"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terzi licenze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DA60" w14:textId="77777777" w:rsidR="00C47689" w:rsidRDefault="00C47689" w:rsidP="00D62225">
      <w:pPr>
        <w:spacing w:after="0" w:line="240" w:lineRule="auto"/>
      </w:pPr>
      <w:r>
        <w:separator/>
      </w:r>
    </w:p>
  </w:endnote>
  <w:endnote w:type="continuationSeparator" w:id="0">
    <w:p w14:paraId="41BDD4DB" w14:textId="77777777" w:rsidR="00C47689" w:rsidRDefault="00C47689" w:rsidP="00D62225">
      <w:pPr>
        <w:spacing w:after="0" w:line="240" w:lineRule="auto"/>
      </w:pPr>
      <w:r>
        <w:continuationSeparator/>
      </w:r>
    </w:p>
  </w:endnote>
  <w:endnote w:id="1">
    <w:p w14:paraId="45574871" w14:textId="77777777" w:rsidR="005A7744" w:rsidRPr="000164C8" w:rsidRDefault="005A7744"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7" w14:textId="77777777" w:rsidR="005A7744" w:rsidRDefault="005A77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8" w14:textId="197A3F42" w:rsidR="005A7744" w:rsidRPr="00BC3C02" w:rsidRDefault="005A7744" w:rsidP="00BC3C02">
    <w:pPr>
      <w:pStyle w:val="Pidipagina"/>
      <w:jc w:val="right"/>
      <w:rPr>
        <w:rFonts w:ascii="Times New Roman" w:hAnsi="Times New Roman" w:cs="Times New Roman"/>
      </w:rPr>
    </w:pPr>
    <w:r>
      <w:rPr>
        <w:noProof/>
        <w:lang w:eastAsia="it-IT"/>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560365">
          <w:rPr>
            <w:rFonts w:ascii="Times New Roman" w:hAnsi="Times New Roman" w:cs="Times New Roman"/>
            <w:noProof/>
          </w:rPr>
          <w:t>42</w:t>
        </w:r>
        <w:r w:rsidRPr="00BC3C02">
          <w:rPr>
            <w:rFonts w:ascii="Times New Roman" w:hAnsi="Times New Roman" w:cs="Times New Roman"/>
          </w:rPr>
          <w:fldChar w:fldCharType="end"/>
        </w:r>
      </w:sdtContent>
    </w:sdt>
  </w:p>
  <w:p w14:paraId="45574859" w14:textId="77777777" w:rsidR="005A7744" w:rsidRDefault="005A7744">
    <w:pPr>
      <w:pStyle w:val="Pidipagina"/>
    </w:pPr>
  </w:p>
  <w:p w14:paraId="4557485A" w14:textId="77777777" w:rsidR="005A7744" w:rsidRDefault="005A77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C" w14:textId="77777777" w:rsidR="005A7744" w:rsidRDefault="005A77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A267" w14:textId="77777777" w:rsidR="00C47689" w:rsidRDefault="00C47689" w:rsidP="00D62225">
      <w:pPr>
        <w:spacing w:after="0" w:line="240" w:lineRule="auto"/>
      </w:pPr>
      <w:r>
        <w:separator/>
      </w:r>
    </w:p>
  </w:footnote>
  <w:footnote w:type="continuationSeparator" w:id="0">
    <w:p w14:paraId="39F901DC" w14:textId="77777777" w:rsidR="00C47689" w:rsidRDefault="00C47689" w:rsidP="00D62225">
      <w:pPr>
        <w:spacing w:after="0" w:line="240" w:lineRule="auto"/>
      </w:pPr>
      <w:r>
        <w:continuationSeparator/>
      </w:r>
    </w:p>
  </w:footnote>
  <w:footnote w:id="1">
    <w:p w14:paraId="4557485F" w14:textId="77777777" w:rsidR="005A7744" w:rsidRPr="005F0E22" w:rsidRDefault="005A7744"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5A7744" w:rsidRPr="00741B37" w:rsidRDefault="005A7744"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5A7744" w:rsidRPr="005F0E22" w:rsidRDefault="005A7744"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5A7744" w:rsidRPr="00F2423A" w:rsidRDefault="005A7744" w:rsidP="00C14899">
      <w:pPr>
        <w:pStyle w:val="Testonotaapidipagina"/>
        <w:rPr>
          <w:rFonts w:ascii="Calibri" w:hAnsi="Calibri"/>
          <w:sz w:val="18"/>
          <w:szCs w:val="18"/>
          <w:lang w:val="it-IT"/>
        </w:rPr>
      </w:pPr>
    </w:p>
  </w:footnote>
  <w:footnote w:id="4">
    <w:p w14:paraId="45574863" w14:textId="77777777" w:rsidR="005A7744" w:rsidRPr="00BC14B7" w:rsidRDefault="005A7744"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5A7744" w:rsidRPr="00BC14B7" w:rsidRDefault="005A7744" w:rsidP="00C14899">
      <w:pPr>
        <w:pStyle w:val="Testonotaapidipagina"/>
        <w:rPr>
          <w:lang w:val="it-IT"/>
        </w:rPr>
      </w:pPr>
    </w:p>
  </w:footnote>
  <w:footnote w:id="5">
    <w:p w14:paraId="45574865" w14:textId="77777777" w:rsidR="005A7744" w:rsidRPr="00F43BC2" w:rsidRDefault="005A7744"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5A7744" w:rsidRPr="00EE08F4" w:rsidRDefault="005A7744" w:rsidP="00C14899">
      <w:pPr>
        <w:pStyle w:val="Testonotaapidipagina"/>
        <w:rPr>
          <w:lang w:val="it-IT"/>
        </w:rPr>
      </w:pPr>
    </w:p>
  </w:footnote>
  <w:footnote w:id="6">
    <w:p w14:paraId="45574867" w14:textId="77777777" w:rsidR="005A7744" w:rsidRPr="00BC14B7" w:rsidRDefault="005A7744"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5A7744" w:rsidRPr="001A1879" w:rsidRDefault="005A7744"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5A7744" w:rsidRPr="00BC14B7" w:rsidRDefault="005A7744"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5A7744" w:rsidRPr="00BC14B7" w:rsidRDefault="005A7744"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5A7744" w:rsidRPr="00BC14B7" w:rsidRDefault="005A7744" w:rsidP="00C14899">
      <w:pPr>
        <w:pStyle w:val="Testonotaapidipagina"/>
        <w:rPr>
          <w:rFonts w:asciiTheme="minorHAnsi" w:hAnsiTheme="minorHAnsi"/>
          <w:lang w:val="it-IT"/>
        </w:rPr>
      </w:pPr>
    </w:p>
  </w:footnote>
  <w:footnote w:id="7">
    <w:p w14:paraId="4557486C" w14:textId="77777777" w:rsidR="005A7744" w:rsidRPr="00BC14B7" w:rsidRDefault="005A7744"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5A7744" w:rsidRPr="00BC14B7" w:rsidRDefault="005A7744" w:rsidP="00C14899">
      <w:pPr>
        <w:pStyle w:val="Testonotaapidipagina"/>
        <w:rPr>
          <w:rFonts w:asciiTheme="minorHAnsi" w:hAnsiTheme="minorHAnsi"/>
          <w:lang w:val="it-IT"/>
        </w:rPr>
      </w:pPr>
    </w:p>
  </w:footnote>
  <w:footnote w:id="8">
    <w:p w14:paraId="4557486E" w14:textId="77777777" w:rsidR="005A7744" w:rsidRPr="00BC14B7" w:rsidRDefault="005A7744"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5A7744" w:rsidRPr="00BC14B7" w:rsidRDefault="005A7744" w:rsidP="00C14899">
      <w:pPr>
        <w:pStyle w:val="Testonotadichiusura"/>
        <w:rPr>
          <w:rFonts w:asciiTheme="minorHAnsi" w:hAnsiTheme="minorHAnsi"/>
        </w:rPr>
      </w:pPr>
    </w:p>
    <w:p w14:paraId="45574870" w14:textId="77777777" w:rsidR="005A7744" w:rsidRPr="00BC14B7" w:rsidRDefault="005A7744"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5" w14:textId="77777777" w:rsidR="005A7744" w:rsidRDefault="005A77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6" w14:textId="77777777" w:rsidR="005A7744" w:rsidRPr="00F95C93" w:rsidRDefault="005A7744"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5B" w14:textId="77777777" w:rsidR="005A7744" w:rsidRDefault="005A77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383598803">
    <w:abstractNumId w:val="24"/>
  </w:num>
  <w:num w:numId="2" w16cid:durableId="474105433">
    <w:abstractNumId w:val="14"/>
  </w:num>
  <w:num w:numId="3" w16cid:durableId="367336576">
    <w:abstractNumId w:val="2"/>
  </w:num>
  <w:num w:numId="4" w16cid:durableId="1968047761">
    <w:abstractNumId w:val="25"/>
  </w:num>
  <w:num w:numId="5" w16cid:durableId="75637360">
    <w:abstractNumId w:val="12"/>
  </w:num>
  <w:num w:numId="6" w16cid:durableId="51926095">
    <w:abstractNumId w:val="41"/>
  </w:num>
  <w:num w:numId="7" w16cid:durableId="610015296">
    <w:abstractNumId w:val="13"/>
  </w:num>
  <w:num w:numId="8" w16cid:durableId="1848713979">
    <w:abstractNumId w:val="20"/>
  </w:num>
  <w:num w:numId="9" w16cid:durableId="594902852">
    <w:abstractNumId w:val="23"/>
  </w:num>
  <w:num w:numId="10" w16cid:durableId="1030230008">
    <w:abstractNumId w:val="30"/>
  </w:num>
  <w:num w:numId="11" w16cid:durableId="1105270973">
    <w:abstractNumId w:val="6"/>
  </w:num>
  <w:num w:numId="12" w16cid:durableId="2127893102">
    <w:abstractNumId w:val="34"/>
  </w:num>
  <w:num w:numId="13" w16cid:durableId="2029331860">
    <w:abstractNumId w:val="38"/>
  </w:num>
  <w:num w:numId="14" w16cid:durableId="264308027">
    <w:abstractNumId w:val="9"/>
  </w:num>
  <w:num w:numId="15" w16cid:durableId="301007444">
    <w:abstractNumId w:val="21"/>
  </w:num>
  <w:num w:numId="16" w16cid:durableId="1418093817">
    <w:abstractNumId w:val="17"/>
  </w:num>
  <w:num w:numId="17" w16cid:durableId="837189446">
    <w:abstractNumId w:val="4"/>
  </w:num>
  <w:num w:numId="18" w16cid:durableId="889996279">
    <w:abstractNumId w:val="8"/>
  </w:num>
  <w:num w:numId="19" w16cid:durableId="1502312010">
    <w:abstractNumId w:val="18"/>
  </w:num>
  <w:num w:numId="20" w16cid:durableId="933587838">
    <w:abstractNumId w:val="31"/>
  </w:num>
  <w:num w:numId="21" w16cid:durableId="2134515686">
    <w:abstractNumId w:val="42"/>
  </w:num>
  <w:num w:numId="22" w16cid:durableId="952981606">
    <w:abstractNumId w:val="16"/>
  </w:num>
  <w:num w:numId="23" w16cid:durableId="1634750959">
    <w:abstractNumId w:val="22"/>
  </w:num>
  <w:num w:numId="24" w16cid:durableId="1569727227">
    <w:abstractNumId w:val="27"/>
  </w:num>
  <w:num w:numId="25" w16cid:durableId="370692547">
    <w:abstractNumId w:val="11"/>
  </w:num>
  <w:num w:numId="26" w16cid:durableId="1150904741">
    <w:abstractNumId w:val="36"/>
  </w:num>
  <w:num w:numId="27" w16cid:durableId="809254278">
    <w:abstractNumId w:val="44"/>
  </w:num>
  <w:num w:numId="28" w16cid:durableId="1294292912">
    <w:abstractNumId w:val="3"/>
  </w:num>
  <w:num w:numId="29" w16cid:durableId="2077362698">
    <w:abstractNumId w:val="33"/>
  </w:num>
  <w:num w:numId="30" w16cid:durableId="1108623529">
    <w:abstractNumId w:val="28"/>
  </w:num>
  <w:num w:numId="31" w16cid:durableId="1041704672">
    <w:abstractNumId w:val="35"/>
  </w:num>
  <w:num w:numId="32" w16cid:durableId="642587306">
    <w:abstractNumId w:val="7"/>
  </w:num>
  <w:num w:numId="33" w16cid:durableId="1759716639">
    <w:abstractNumId w:val="15"/>
  </w:num>
  <w:num w:numId="34" w16cid:durableId="650716687">
    <w:abstractNumId w:val="10"/>
  </w:num>
  <w:num w:numId="35" w16cid:durableId="978459618">
    <w:abstractNumId w:val="19"/>
  </w:num>
  <w:num w:numId="36" w16cid:durableId="1881629800">
    <w:abstractNumId w:val="1"/>
  </w:num>
  <w:num w:numId="37" w16cid:durableId="1374962169">
    <w:abstractNumId w:val="0"/>
  </w:num>
  <w:num w:numId="38" w16cid:durableId="191766716">
    <w:abstractNumId w:val="43"/>
  </w:num>
  <w:num w:numId="39" w16cid:durableId="1702243014">
    <w:abstractNumId w:val="39"/>
  </w:num>
  <w:num w:numId="40" w16cid:durableId="808472109">
    <w:abstractNumId w:val="29"/>
  </w:num>
  <w:num w:numId="41" w16cid:durableId="1542590192">
    <w:abstractNumId w:val="37"/>
  </w:num>
  <w:num w:numId="42" w16cid:durableId="307132177">
    <w:abstractNumId w:val="32"/>
  </w:num>
  <w:num w:numId="43" w16cid:durableId="2123651252">
    <w:abstractNumId w:val="26"/>
  </w:num>
  <w:num w:numId="44" w16cid:durableId="1612736086">
    <w:abstractNumId w:val="5"/>
  </w:num>
  <w:num w:numId="45" w16cid:durableId="5016270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365"/>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A7744"/>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1DA4"/>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47689"/>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5947-F718-47E0-9F12-75E689A3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20479</Words>
  <Characters>116736</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Lorusso Rino</cp:lastModifiedBy>
  <cp:revision>3</cp:revision>
  <cp:lastPrinted>2018-02-16T18:09:00Z</cp:lastPrinted>
  <dcterms:created xsi:type="dcterms:W3CDTF">2022-04-21T09:14:00Z</dcterms:created>
  <dcterms:modified xsi:type="dcterms:W3CDTF">2022-04-21T09:27:00Z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